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14" w:rsidRDefault="00872A14" w:rsidP="00872A14">
      <w:pPr>
        <w:bidi/>
        <w:jc w:val="both"/>
        <w:rPr>
          <w:rStyle w:val="Emphaseple"/>
          <w:rFonts w:ascii="Traditional Arabic" w:hAnsi="Traditional Arabic" w:cs="Traditional Arabic"/>
          <w:b/>
          <w:bCs/>
          <w:i w:val="0"/>
          <w:iCs w:val="0"/>
          <w:sz w:val="36"/>
          <w:szCs w:val="36"/>
          <w:rtl/>
        </w:rPr>
      </w:pPr>
    </w:p>
    <w:p w:rsidR="00872A14" w:rsidRDefault="00872A14" w:rsidP="00872A14">
      <w:pPr>
        <w:shd w:val="clear" w:color="auto" w:fill="FFFFFF"/>
        <w:bidi/>
        <w:spacing w:after="100" w:afterAutospacing="1" w:line="209" w:lineRule="atLeast"/>
        <w:jc w:val="center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proofErr w:type="gramStart"/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</w:t>
      </w:r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لمحاضرة</w:t>
      </w:r>
      <w:proofErr w:type="gramEnd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الثالثة: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center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</w:pPr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proofErr w:type="gramStart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الثورة</w:t>
      </w:r>
      <w:proofErr w:type="gramEnd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العلمية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proofErr w:type="gram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يشير</w:t>
      </w:r>
      <w:proofErr w:type="gram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مصطلح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 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ثورة</w:t>
      </w:r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علمية</w:t>
      </w:r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إلى تلك الحرك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ة العلمية التي تمخ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ّ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ضت عن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ظهور العل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م الحديث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ة ابتداء من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القرنين السادس عشر والسابع عشر،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ثم استمرّت هذه الثورة العلمية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إلى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القرن العشرين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وما بعده...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في نهاية عصر النهضة، شهدت أوروبا تغييرات في طريقة فهم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العالم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ودراسته.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أدى ذلك إلى أفكار ومعرفة جديدة في جميع المجالات العلمية والفلسفية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ويعد كتاب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نيكولاس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كوبرنيكوس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(</w:t>
      </w:r>
      <w:proofErr w:type="gramStart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حول</w:t>
      </w:r>
      <w:proofErr w:type="gramEnd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دوران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الأجرام السماوية) علامة فارقة وبداية حقيقية للثورة العلمية، وقد أثبت في كتابه هذا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أن الأرض هي التي تدور حول الشمس وليس العكس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ويعد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استخدام المنهج العلمي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القائم على الملاحظة والتجربة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هو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أساس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هذه الثورة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التي أدت إلى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إحراز تقدم مهم في علم الفلك أو الطب أو الفيزياء أو الكيمياء 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كما قادت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إلى اختراعات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ذات أهمية كبيرة في تقدم مسيرة العلم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</w:pPr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عوامل </w:t>
      </w: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الثورة العلمية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1/ </w:t>
      </w:r>
      <w:proofErr w:type="gramStart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العامل</w:t>
      </w:r>
      <w:proofErr w:type="gramEnd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الفكري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كرس عصر النهضة العودة إلى المؤلفات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المعارف اليونان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ية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القديمة وتلك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المعرف التي </w:t>
      </w:r>
      <w:proofErr w:type="spell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ترسخت</w:t>
      </w:r>
      <w:proofErr w:type="spell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في العالم الإسلامي وروما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وقد أدى الخروج من سلطة الكنيسة إلى التخلص من الرؤية الخاطئة التي كانت تفرضها الكنيسة حول تفسير الكون، وقد كان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قطع عصر النهضة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ل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هذه 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لسلطة الفكرية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التي كانت مفروضة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ضروريًا لظهور الثورة العلمية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2/ </w:t>
      </w:r>
      <w:proofErr w:type="gramStart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العامل</w:t>
      </w:r>
      <w:proofErr w:type="gramEnd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السياسي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كان السياق السياسي أيضًا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ج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ديدًا</w:t>
      </w:r>
      <w:proofErr w:type="gramEnd"/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. </w:t>
      </w:r>
      <w:proofErr w:type="gramStart"/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قبل</w:t>
      </w:r>
      <w:proofErr w:type="gramEnd"/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بداية الثورة العلمية، ظهرت الممالك القومية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، الت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ي تعدّ نواة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الدول القومية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بعد ذلك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  <w:lang w:bidi="ar-DZ"/>
        </w:rPr>
        <w:t xml:space="preserve"> </w:t>
      </w:r>
      <w:proofErr w:type="gram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ظهرت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في هذه الدول الجديدة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أنماط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اقتصادي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أكثر ليبرالية من الناحية السياسية،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مما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كان له تأثير اجتماعي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هائل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3/ </w:t>
      </w:r>
      <w:proofErr w:type="gramStart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العامل</w:t>
      </w:r>
      <w:proofErr w:type="gramEnd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الاستكشافي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lastRenderedPageBreak/>
        <w:t>كان اكتشاف الأوروبيين لأراض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جديدة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يعني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أن عليهم أن يفتحوا أع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ينهم على حقائق جديدة. </w:t>
      </w:r>
      <w:proofErr w:type="gramStart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حيث</w:t>
      </w:r>
      <w:proofErr w:type="gramEnd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بدأ تنظيم ال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حملات العلمية لدراسة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هذه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المناطق الجديدة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4/ </w:t>
      </w:r>
      <w:proofErr w:type="gramStart"/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الإصلاح</w:t>
      </w:r>
      <w:proofErr w:type="gramEnd"/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الديني </w:t>
      </w:r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البروتستانتي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انهار الإيمان المسيحي الذي كان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يوحد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بين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جميع الدول الأوروبية مع الإصلاح البروتستانتي.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كان الفساد في الكنيسة الكاثوليكية أحد دوافع انفصال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لوثر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عن الكاثوليكية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وقد نتج عن هذا الأمر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ظهور أفكار جديد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، </w:t>
      </w:r>
      <w:proofErr w:type="gram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في</w:t>
      </w:r>
      <w:proofErr w:type="gram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مقد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ّ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متها الأفكار العلمية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5/ </w:t>
      </w:r>
      <w:proofErr w:type="gramStart"/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اختراع</w:t>
      </w:r>
      <w:proofErr w:type="gramEnd"/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المطبعة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باختراع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جوتنبرج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المطبعة،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تسارع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انتشار المعرفة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ولم يعد توزيع الكتب </w:t>
      </w:r>
      <w:proofErr w:type="spell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واقناؤها</w:t>
      </w:r>
      <w:proofErr w:type="spell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مقتصرا على الأديرة والكنائس والنخبة، بل صار الكتاب سلعة شعبية . 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6/ </w:t>
      </w:r>
      <w:proofErr w:type="gramStart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النزعة</w:t>
      </w:r>
      <w:proofErr w:type="gramEnd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الإنسانية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سادت النزعة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الإنسانية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التي رافقت </w:t>
      </w:r>
      <w:proofErr w:type="gram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عصر</w:t>
      </w:r>
      <w:proofErr w:type="gram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النهضة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جميع أنحاء إيطاليا.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وكان البعد التربوي </w:t>
      </w:r>
      <w:proofErr w:type="spell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والتعلمي</w:t>
      </w:r>
      <w:proofErr w:type="spell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من مميزات هذه النزعة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من حيث أنه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قدم مفهومًا جديدًا للتعليم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يعتمد على حرية الإنسان/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الفرد و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حق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ّ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ه في العلم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الثقاف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ة،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وقد سه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ّ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لت المطبعة انتشار هذه النزعة التعليمية في جميع أنحاء أوربا، وقد رافق ذلك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تداول النصوص الكلاسيكية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 وشج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ّ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ع على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تبادل الأفكار بين المثق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ّ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فين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proofErr w:type="gramStart"/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ممي</w:t>
      </w: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ّ</w:t>
      </w:r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زات</w:t>
      </w:r>
      <w:proofErr w:type="gramEnd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الثورة العلمية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استخدم المنهج العلمي والرياضيات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لوصف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ما يحيط بالإنسان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gram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وقد</w:t>
      </w:r>
      <w:proofErr w:type="gram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صار مقبولا ومعتمدا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استخدام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التجربة والخطأ والملاحظة المتكررة لكل حدث لاستخلاص النتائج من البيانات كأفضل نظام من قبل المجتمع العلمي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  <w:lang w:bidi="ar-DZ"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هذه الطريقة القائمة على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الم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نهج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استقرائي للطبيعة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مثلت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ثورة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ع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لى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النهج الأرسطي القديم الذي يركز على الاستنتاج من الحقائق المعروفة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سلفا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وإذا كان م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عتمد التقليد العلمي الأرسطي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هو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البحث على الملاحظة والاستدلال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  <w:lang w:bidi="ar-DZ"/>
        </w:rPr>
        <w:t xml:space="preserve">فإن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الثورة العلمية غيرت هذا النهج تمامًا.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حيث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أعطيت الأدلة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قيمة أكبر بكثير، </w:t>
      </w:r>
      <w:proofErr w:type="gram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وخاصة</w:t>
      </w:r>
      <w:proofErr w:type="gram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إذا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كانت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هذه الأدلة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تجريبية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. 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وقد ذهب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جون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لوك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أن المعرفة الوحيدة التي يمكن للإنسان أن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يحصلها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ويفهمها هي المعرفة القائمة على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التجربة 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الخبرة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proofErr w:type="gram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lastRenderedPageBreak/>
        <w:t>وعزز</w:t>
      </w:r>
      <w:proofErr w:type="gram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هذا التوجه المنهج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الاستقرائي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الذي يلتقي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مع التجريبية في أن المعرفة العلمية شيء موضوعي وقابل للقياس ويمكن إثباته من نتائج التجارب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وقد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بدأت هذه الفلسفة في القرن السابع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عشر</w:t>
      </w:r>
      <w:proofErr w:type="gram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توطد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ت على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يد إسحاق نيوتن واكتشافاته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proofErr w:type="gramStart"/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إنشاء</w:t>
      </w:r>
      <w:proofErr w:type="gramEnd"/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المؤسسات العلمية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من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الخصائص المهمة للثورة العلمية ظهور المجتمعات العلمية.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التي أضفت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طابع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م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ؤس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ّ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سي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يشرف </w:t>
      </w:r>
      <w:proofErr w:type="gram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على</w:t>
      </w:r>
      <w:proofErr w:type="gram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عمليات البحث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ووفرت إطارًا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لنشر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الاكتشافات ومناقشتها.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كان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أول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مجتمع من هذا القبيل هو الجمعية الملكية في إنجلترا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في عام 1666 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أنشأ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الفرنسيون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أكاديمية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العلوم.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التي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كانت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مؤسّسة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عامة أسستها الحكومة 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بخلاف الجمعية الملكية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الإنجليزية التي كانت خاصة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وقد</w:t>
      </w: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اصطدمت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كثير من المفاهيم 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الأساليب العلمية الجديدة والنتائج التي تم الحصول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عليها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مع الكنيسة الكاثوليكية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proofErr w:type="gram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التي</w:t>
      </w:r>
      <w:proofErr w:type="gram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تمسكت بتفسيراتها للعالم، ومن أهم التفسيرات العلمية التي رفضتها الكنيسة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أن الأرض ليست مركز الكون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أنها تدور حول الشمس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..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 xml:space="preserve">من </w:t>
      </w:r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أعلام ومنجزات</w:t>
      </w: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 الثورة العلمية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نيكولاس </w:t>
      </w:r>
      <w:proofErr w:type="spellStart"/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كوبرنيكوس</w:t>
      </w:r>
      <w:proofErr w:type="spellEnd"/>
    </w:p>
    <w:p w:rsidR="00872A14" w:rsidRPr="00590933" w:rsidRDefault="00872A14" w:rsidP="00872A14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2F27AE">
        <w:rPr>
          <w:rFonts w:ascii="Traditional Arabic" w:eastAsia="Times New Roman" w:hAnsi="Traditional Arabic" w:cs="Traditional Arabic"/>
          <w:color w:val="C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يؤرخ كثير من الدارسين بداية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الثورة العلمية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الحديثة بنشر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نيكولاس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كوبرنيكوس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عمله عام 1543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 w:rsidRPr="0046491F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(حول دوران الأجرام السماوية)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  <w:lang w:bidi="ar-DZ"/>
        </w:rPr>
        <w:t xml:space="preserve">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وقد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غيّر عالم الفلك البولندي رؤيته لكيفية ترتيب النظام الشمسي بأبحاثه.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وعلى الرغم من أنه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منذ العصر اليوناني كان معروفًا أن الأرض لم تكن مركز النظام الشمسي 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فإن هذه الحقيقة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تم تجاهل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ها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لصالح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الاعتقاد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ب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مركزية الأرض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أكد </w:t>
      </w:r>
      <w:proofErr w:type="spellStart"/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كوبرنيكوس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من خلال ملاحظاته ، أن الجرم السماوي المركزي لنظامنا هو الشمس. وبالمثل ، أنشأ القواعد لإثبات ذلك ، وتصحيح الأخطاء الحسابية للعلماء السابقين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proofErr w:type="spellStart"/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يوهانس</w:t>
      </w:r>
      <w:proofErr w:type="spellEnd"/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</w:t>
      </w:r>
      <w:proofErr w:type="spellStart"/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كيبلر</w:t>
      </w:r>
      <w:proofErr w:type="spellEnd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 xml:space="preserve"> :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ستفاد عالم الفلك الألماني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يوهانس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كيبلر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من عمل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تايكو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براهي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السابق لتقديم بيانات دقيقة عن النظام الشمسي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قام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براهي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بقياس مدارات الكواكب بشكل مثالي واستخدم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كبلر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البيانات لاكتشاف أن هذه المدارات لم تكن دائرية ، بل بيضاوية الشكل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إلى جانب ذلك 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صاغ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قوانين أخرى حول حركة الكواكب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سمح له ذلك بتحسين فرضية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كوبرنيكوس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حول النظام الشمسي وخصائصه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lastRenderedPageBreak/>
        <w:t xml:space="preserve">جاليليو </w:t>
      </w:r>
      <w:proofErr w:type="spellStart"/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جاليلي</w:t>
      </w:r>
      <w:proofErr w:type="spellEnd"/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 xml:space="preserve">: 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كان جاليليو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جاليلي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عالِم فلك ورياضيات وفيزيائيًا إيطاليًا. ولد عام 1564 ، وكان يؤيد تمامًا نظام مركزية الشمس الذي اقترحه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كوبرنيكوس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كرس نفسه لمراقبة النظام الشمسي لاستخلاص استنتاجات جديدة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 xml:space="preserve">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كلفته اكتشافاته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محاكمة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من الكنيسة الكاثوليكية في عام 1633 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حيث أجبرته على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أن يتراجع عن ادعاءاته حول حركة الكواكب.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وبذلك نجا من الإعدام، ولكنه بقي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رهن الإقامة الجبرية لبقية حياته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في مجال الفيزياء الرياضية ،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ذهب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جاليليو أنه يمكن وصف الطبيعة بشكل مثالي باستخدام الرياضيات. ومهمة العالم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بحسبه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هي فك رموز القوانين التي تحكم حركة ا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لأجسام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  <w:lang w:bidi="ar-DZ"/>
        </w:rPr>
      </w:pPr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مساهمات الفلاسفة</w:t>
      </w:r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 xml:space="preserve">: </w:t>
      </w: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>بيكون/ ديكارت / نيوتن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 w:rsidRPr="0046491F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فرنسيس بيكون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: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لم يكن العلماء وحدهم هم من قادوا هذه الثورة. ظهر الفلاسفة أيضًا الذين قدموا أساسًا نظريًا لمسلماتهم. كان من أ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برزهم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فرانسيس بيكون، الذي أسست أعماله طرقًا استقرائية في البحث العلمي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كان بيكون فيلس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وفًا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سياسي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ًا ومحاميًا وكاتبًا. يُعرف بأب التجريبية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قام بتفصيل قواعد المنهج العلمي التجريبي في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كتابه </w:t>
      </w:r>
      <w:proofErr w:type="spell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الأورغانون</w:t>
      </w:r>
      <w:proofErr w:type="spell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الجديد.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  <w:lang w:bidi="ar-DZ"/>
        </w:rPr>
        <w:t xml:space="preserve"> 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في هذا العمل الأخير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رأى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المؤلف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أن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العلم تقنية يمكن أن تمنح البشر السيطرة على الطبيع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ة،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كان يعتقد أن العلم واكتشافاته يجب أن تعمل على تحسين ظروف حياة الإنسان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لهذا السبب الأخير ، جادل بيكون بأن العلماء يجب أن يتخلوا عن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الاكتفاء ب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المناقشات الفكرية و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ي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سع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وا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وراء الأهداف التأملية.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وأن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عليهم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تركيز جهودهم على تحسين حياة البشرية من خلال اختراعاتهم الجديدة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ريني</w:t>
      </w:r>
      <w:r w:rsidRPr="00590933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ه</w:t>
      </w:r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 xml:space="preserve"> ديكارت </w:t>
      </w:r>
      <w:r w:rsidRPr="002F27AE">
        <w:rPr>
          <w:rFonts w:ascii="Traditional Arabic" w:eastAsia="Times New Roman" w:hAnsi="Traditional Arabic" w:cs="Traditional Arabic"/>
          <w:color w:val="C00000"/>
          <w:sz w:val="32"/>
          <w:szCs w:val="32"/>
        </w:rPr>
        <w:pict>
          <v:shape id="_x0000_i1026" type="#_x0000_t75" alt="" style="width:23.85pt;height:23.85pt"/>
        </w:pic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هو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أحد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رواد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الثورة العلمية. قدم مساهماته في جانبين مختلفين: الجانب الفلسفي والعلمي البحت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طور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ديكارت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فلسفة عامة حول العلم الهندسي الجديد للطبيعة.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كان الغرض منه إنشاء علم عالمي قائم على تلك الحقائق المكتشفة من خلال العقل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،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ويعدّ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ديكارت وريثًا لعلم عصر النهضة، من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حيث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نقد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الافتراضات الأرسطية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والقول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بنظام مركزية الشمس الذي اقترحه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كوبرنيكوس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وتابع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ديكارت 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جاليليو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في الدفاع عن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الطابع الرياضي للفضاء.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ساهم المؤلف في قوانين الحركة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.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 </w:t>
      </w:r>
    </w:p>
    <w:p w:rsidR="00872A14" w:rsidRPr="002E4364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  <w:t>إسحاق نيوتن</w:t>
      </w:r>
      <w:r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  <w:lang w:bidi="ar-DZ"/>
        </w:rPr>
        <w:t xml:space="preserve"> :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أ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سس عمل إسحاق نيوتن المبادئ الرياضية للفلسفة الطبيعية. </w:t>
      </w:r>
      <w:proofErr w:type="gram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حيث</w:t>
      </w:r>
      <w:proofErr w:type="gram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قام المؤلف بتفصيل العناصر المكونة للكون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فذهب إلى أن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المادة  سلسلة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لا نهائية من </w:t>
      </w:r>
      <w:proofErr w:type="spell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الذرات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المقاومة والتي لا يمكن اختراقها.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أما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الفضاء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فهو فارغ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ومتجانس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وغير متحرك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lastRenderedPageBreak/>
        <w:t>وتعد نظرية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الجاذبية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هي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المساهمة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الأهمّ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لنيوتن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الذي قد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ّ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م من خلال الرياضيات تفسيرًا موح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ّ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دًا لعدد كبير من الظواهر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؛ </w:t>
      </w:r>
      <w:proofErr w:type="spell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ابتداءا</w:t>
      </w:r>
      <w:proofErr w:type="spell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من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سقوط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الحر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للأجسام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إلى مدارات الكواكب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</w:p>
    <w:p w:rsidR="00872A14" w:rsidRPr="00590933" w:rsidRDefault="00872A14" w:rsidP="00872A14">
      <w:pPr>
        <w:shd w:val="clear" w:color="auto" w:fill="FFFFFF"/>
        <w:bidi/>
        <w:spacing w:after="100" w:afterAutospacing="1" w:line="209" w:lineRule="atLeast"/>
        <w:jc w:val="both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هذه النظرية بأكملها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تقوم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على 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عنصر أساسي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هو الجاذبية؛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قوة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ثابتة و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شامل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proofErr w:type="gramStart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التي  هي</w:t>
      </w:r>
      <w:proofErr w:type="gramEnd"/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سبب تفاعل كل كتل الكون باستمرار 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وانجذاب بعضها إلى بعض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</w:rPr>
        <w:t>.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  <w:lang w:bidi="ar-DZ"/>
        </w:rPr>
        <w:t xml:space="preserve">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ولعل </w:t>
      </w:r>
      <w:proofErr w:type="gramStart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الشيء</w:t>
      </w:r>
      <w:proofErr w:type="gramEnd"/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الذي لم يستطع نيوتن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الإجابة عليه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هو تحديد سبب الانجذاب. 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كان هذا السؤال يتجاوز قدرات الفيزياء الرياضية</w:t>
      </w:r>
      <w:r w:rsidRPr="00590933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في ذلك الوقت.</w:t>
      </w:r>
      <w:r w:rsidRPr="00590933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</w:t>
      </w:r>
    </w:p>
    <w:p w:rsidR="00872A14" w:rsidRPr="005321AA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b/>
          <w:bCs/>
          <w:color w:val="C00000"/>
          <w:sz w:val="32"/>
          <w:szCs w:val="32"/>
          <w:rtl/>
        </w:rPr>
      </w:pPr>
      <w:r w:rsidRPr="005321AA">
        <w:rPr>
          <w:rFonts w:ascii="Traditional Arabic" w:eastAsia="Times New Roman" w:hAnsi="Traditional Arabic" w:cs="Traditional Arabic" w:hint="cs"/>
          <w:b/>
          <w:bCs/>
          <w:color w:val="C00000"/>
          <w:sz w:val="32"/>
          <w:szCs w:val="32"/>
          <w:rtl/>
        </w:rPr>
        <w:t>في الطب والكيمياء والكهرباء:</w:t>
      </w:r>
    </w:p>
    <w:p w:rsidR="00872A14" w:rsidRPr="002E4364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2E4364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ومن أعلام الثورة العلمية </w:t>
      </w:r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أندرو </w:t>
      </w:r>
      <w:proofErr w:type="spellStart"/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فيزاليوس</w:t>
      </w:r>
      <w:proofErr w:type="spellEnd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</w:t>
      </w:r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وليام </w:t>
      </w:r>
      <w:proofErr w:type="spellStart"/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هارفي</w:t>
      </w:r>
      <w:proofErr w:type="spellEnd"/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في الطب والتشريح البشري، و</w:t>
      </w:r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روبرت بويل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في الكيمياء، و</w:t>
      </w:r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وليام </w:t>
      </w:r>
      <w:proofErr w:type="spellStart"/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جيلبرت</w:t>
      </w:r>
      <w:proofErr w:type="spellEnd"/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في المغناطيسية والكهرباء. </w:t>
      </w:r>
    </w:p>
    <w:p w:rsidR="00872A14" w:rsidRPr="002E4364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</w:pPr>
      <w:r w:rsidRPr="002E4364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وقد أدت هذه الجهود العلمية إلى مجموعة من </w:t>
      </w:r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الاختراعات </w:t>
      </w:r>
      <w:r w:rsidRPr="002E4364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كالآلات</w:t>
      </w:r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 xml:space="preserve"> الح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ا</w:t>
      </w:r>
      <w:r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س</w:t>
      </w:r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ب</w:t>
      </w:r>
      <w:r w:rsidRPr="002E4364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ة و</w:t>
      </w:r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الآلات الصناعية</w:t>
      </w:r>
      <w:r w:rsidRPr="002E4364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والمحرك البخاري </w:t>
      </w:r>
      <w:r w:rsidRPr="002E4364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</w:t>
      </w:r>
      <w:r w:rsidRPr="002E4364">
        <w:rPr>
          <w:rFonts w:ascii="Traditional Arabic" w:eastAsia="Times New Roman" w:hAnsi="Traditional Arabic" w:cs="Traditional Arabic"/>
          <w:color w:val="C00000"/>
          <w:sz w:val="32"/>
          <w:szCs w:val="32"/>
          <w:rtl/>
        </w:rPr>
        <w:t>التلسكوبات</w:t>
      </w:r>
      <w:r w:rsidRPr="002E4364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.</w:t>
      </w:r>
    </w:p>
    <w:p w:rsidR="00872A14" w:rsidRPr="002E4364" w:rsidRDefault="00872A14" w:rsidP="00872A14">
      <w:pPr>
        <w:shd w:val="clear" w:color="auto" w:fill="FFFFFF"/>
        <w:bidi/>
        <w:spacing w:after="100" w:afterAutospacing="1" w:line="314" w:lineRule="atLeast"/>
        <w:jc w:val="both"/>
        <w:outlineLvl w:val="1"/>
        <w:rPr>
          <w:rFonts w:ascii="Traditional Arabic" w:eastAsia="Times New Roman" w:hAnsi="Traditional Arabic" w:cs="Traditional Arabic"/>
          <w:color w:val="C00000"/>
          <w:sz w:val="32"/>
          <w:szCs w:val="32"/>
        </w:rPr>
      </w:pPr>
      <w:r w:rsidRPr="002E4364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وكان لهذه الثورة العلمية آثار ونتائج في الجوانب الفكرية والاقتصادية والسياسية، وكانت من أهم العوامل التي أدت إلى ما يسمى عصر التنوي</w:t>
      </w:r>
      <w:r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>ر في أوربا بين القرن السابع عشر</w:t>
      </w:r>
      <w:r w:rsidRPr="002E4364">
        <w:rPr>
          <w:rFonts w:ascii="Traditional Arabic" w:eastAsia="Times New Roman" w:hAnsi="Traditional Arabic" w:cs="Traditional Arabic" w:hint="cs"/>
          <w:color w:val="C00000"/>
          <w:sz w:val="32"/>
          <w:szCs w:val="32"/>
          <w:rtl/>
        </w:rPr>
        <w:t xml:space="preserve"> والقرن الثامن عشر.</w:t>
      </w:r>
    </w:p>
    <w:p w:rsidR="0088534D" w:rsidRPr="00872A14" w:rsidRDefault="0088534D" w:rsidP="00872A14">
      <w:pPr>
        <w:bidi/>
      </w:pPr>
    </w:p>
    <w:sectPr w:rsidR="0088534D" w:rsidRPr="00872A1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872A14"/>
    <w:rsid w:val="00872A14"/>
    <w:rsid w:val="0088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872A14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2021-05-11T09:15:00Z</dcterms:created>
  <dcterms:modified xsi:type="dcterms:W3CDTF">2021-05-11T09:26:00Z</dcterms:modified>
</cp:coreProperties>
</file>