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6B" w:rsidRPr="00336A2F" w:rsidRDefault="000A476D" w:rsidP="00205DCA">
      <w:pPr>
        <w:bidi/>
        <w:spacing w:after="0" w:line="240" w:lineRule="auto"/>
        <w:jc w:val="center"/>
        <w:rPr>
          <w:rFonts w:cs="Simplified Arabic"/>
          <w:b/>
          <w:bCs/>
          <w:color w:val="C00000"/>
          <w:sz w:val="40"/>
          <w:szCs w:val="40"/>
          <w:u w:val="single"/>
          <w:rtl/>
          <w:lang w:bidi="ar-DZ"/>
        </w:rPr>
      </w:pPr>
      <w:r w:rsidRPr="00336A2F">
        <w:rPr>
          <w:rFonts w:cs="Simplified Arabic" w:hint="cs"/>
          <w:b/>
          <w:bCs/>
          <w:color w:val="C00000"/>
          <w:sz w:val="40"/>
          <w:szCs w:val="40"/>
          <w:u w:val="single"/>
          <w:rtl/>
          <w:lang w:bidi="ar-DZ"/>
        </w:rPr>
        <w:t xml:space="preserve">المحاضرة </w:t>
      </w:r>
      <w:r w:rsidR="00205DCA">
        <w:rPr>
          <w:rFonts w:cs="Simplified Arabic" w:hint="cs"/>
          <w:b/>
          <w:bCs/>
          <w:color w:val="C00000"/>
          <w:sz w:val="40"/>
          <w:szCs w:val="40"/>
          <w:u w:val="single"/>
          <w:rtl/>
          <w:lang w:bidi="ar-DZ"/>
        </w:rPr>
        <w:t>الثانية</w:t>
      </w:r>
      <w:r w:rsidR="004B45B5">
        <w:rPr>
          <w:rFonts w:cs="Simplified Arabic" w:hint="cs"/>
          <w:b/>
          <w:bCs/>
          <w:color w:val="C00000"/>
          <w:sz w:val="40"/>
          <w:szCs w:val="40"/>
          <w:u w:val="single"/>
          <w:rtl/>
          <w:lang w:bidi="ar-DZ"/>
        </w:rPr>
        <w:t xml:space="preserve"> عشر</w:t>
      </w:r>
      <w:r w:rsidRPr="00336A2F">
        <w:rPr>
          <w:rFonts w:cs="Simplified Arabic" w:hint="cs"/>
          <w:b/>
          <w:bCs/>
          <w:color w:val="C00000"/>
          <w:sz w:val="40"/>
          <w:szCs w:val="40"/>
          <w:u w:val="single"/>
          <w:rtl/>
          <w:lang w:bidi="ar-DZ"/>
        </w:rPr>
        <w:t xml:space="preserve">: </w:t>
      </w:r>
      <w:r w:rsidR="00E109CC" w:rsidRPr="00336A2F">
        <w:rPr>
          <w:rFonts w:cs="Simplified Arabic" w:hint="cs"/>
          <w:b/>
          <w:bCs/>
          <w:color w:val="C00000"/>
          <w:sz w:val="40"/>
          <w:szCs w:val="40"/>
          <w:u w:val="single"/>
          <w:rtl/>
          <w:lang w:bidi="ar-DZ"/>
        </w:rPr>
        <w:t xml:space="preserve">النّقد </w:t>
      </w:r>
      <w:r w:rsidR="00205DCA">
        <w:rPr>
          <w:rFonts w:cs="Simplified Arabic" w:hint="cs"/>
          <w:b/>
          <w:bCs/>
          <w:color w:val="C00000"/>
          <w:sz w:val="40"/>
          <w:szCs w:val="40"/>
          <w:u w:val="single"/>
          <w:rtl/>
          <w:lang w:bidi="ar-DZ"/>
        </w:rPr>
        <w:t>الجديد</w:t>
      </w:r>
    </w:p>
    <w:p w:rsidR="00284870" w:rsidRDefault="00965BC4" w:rsidP="00284870">
      <w:pPr>
        <w:bidi/>
        <w:spacing w:after="0" w:line="240" w:lineRule="auto"/>
        <w:jc w:val="both"/>
        <w:rPr>
          <w:rFonts w:cs="Simplified Arabic" w:hint="cs"/>
          <w:sz w:val="36"/>
          <w:szCs w:val="36"/>
          <w:rtl/>
          <w:lang w:bidi="ar-DZ"/>
        </w:rPr>
      </w:pPr>
      <w:r>
        <w:rPr>
          <w:rFonts w:cs="Simplified Arabic" w:hint="cs"/>
          <w:sz w:val="36"/>
          <w:szCs w:val="36"/>
          <w:rtl/>
          <w:lang w:bidi="ar-DZ"/>
        </w:rPr>
        <w:tab/>
      </w:r>
      <w:r w:rsidR="00284870">
        <w:rPr>
          <w:rFonts w:cs="Simplified Arabic" w:hint="cs"/>
          <w:sz w:val="36"/>
          <w:szCs w:val="36"/>
          <w:rtl/>
          <w:lang w:bidi="ar-DZ"/>
        </w:rPr>
        <w:t>شهد النّقد والدّراسات الأدبية في أوائل القرن العشرين تحرّراً واستقلالية من المقاربات السّياقية إلى الاهتمام بالمقاربات النّسقية.</w:t>
      </w:r>
    </w:p>
    <w:p w:rsidR="00706267" w:rsidRDefault="00284870" w:rsidP="00284870">
      <w:pPr>
        <w:bidi/>
        <w:spacing w:after="0" w:line="240" w:lineRule="auto"/>
        <w:jc w:val="both"/>
        <w:rPr>
          <w:rFonts w:cs="Simplified Arabic" w:hint="cs"/>
          <w:sz w:val="36"/>
          <w:szCs w:val="36"/>
          <w:rtl/>
          <w:lang w:bidi="ar-DZ"/>
        </w:rPr>
      </w:pPr>
      <w:r>
        <w:rPr>
          <w:rFonts w:cs="Simplified Arabic" w:hint="cs"/>
          <w:sz w:val="36"/>
          <w:szCs w:val="36"/>
          <w:rtl/>
          <w:lang w:bidi="ar-DZ"/>
        </w:rPr>
        <w:tab/>
        <w:t>وقد بدأ النّقد الجديد في الولايات المتّحدة، متأثّراً بأعمال "إيفور أمسترونغ"، وظهر بصورة دقيقة عند "ريتشاردز" (1924) في كتابه "مبادئ النّقد الأدبي"، بالإضافة إلى كتاب "معنى المعنى"، الّذي ألّفه بالاشتراك مع "أوغدن". وهكذا تحوّلت دائرة الاهتمام إلى المعنى وتوطيد العلاقة بين المؤلّف والقارئ. ومن هنا شكّل النّقد الجديد رؤية جديدة للأعمال الأدبية، ممّا يفرض وجود ناقد معني لموضوع نقده، دون الاهتمام بالمؤثّرات الخارجية، لذا أكّد النّقد الجديد</w:t>
      </w:r>
      <w:r w:rsidR="0011257C">
        <w:rPr>
          <w:rFonts w:cs="Simplified Arabic" w:hint="cs"/>
          <w:sz w:val="36"/>
          <w:szCs w:val="36"/>
          <w:rtl/>
          <w:lang w:bidi="ar-DZ"/>
        </w:rPr>
        <w:t xml:space="preserve"> </w:t>
      </w:r>
      <w:r>
        <w:rPr>
          <w:rFonts w:cs="Simplified Arabic" w:hint="cs"/>
          <w:sz w:val="36"/>
          <w:szCs w:val="36"/>
          <w:rtl/>
          <w:lang w:bidi="ar-DZ"/>
        </w:rPr>
        <w:t>على أنّ أهمّية مقاربة النّصوص الأدبية تكون في مدى القدرة على فهم جوهرها.</w:t>
      </w:r>
    </w:p>
    <w:p w:rsidR="00336A2F" w:rsidRPr="00336A2F" w:rsidRDefault="00284870" w:rsidP="00706267">
      <w:pPr>
        <w:bidi/>
        <w:spacing w:after="0" w:line="240" w:lineRule="auto"/>
        <w:jc w:val="both"/>
        <w:rPr>
          <w:rFonts w:cs="Simplified Arabic" w:hint="cs"/>
          <w:b/>
          <w:bCs/>
          <w:color w:val="FF0000"/>
          <w:sz w:val="36"/>
          <w:szCs w:val="36"/>
          <w:rtl/>
          <w:lang w:bidi="ar-DZ"/>
        </w:rPr>
      </w:pPr>
      <w:r>
        <w:rPr>
          <w:rFonts w:cs="Simplified Arabic" w:hint="cs"/>
          <w:b/>
          <w:bCs/>
          <w:color w:val="FF0000"/>
          <w:sz w:val="36"/>
          <w:szCs w:val="36"/>
          <w:u w:val="single"/>
          <w:rtl/>
          <w:lang w:bidi="ar-DZ"/>
        </w:rPr>
        <w:t>آليات النّقد الجديد</w:t>
      </w:r>
      <w:r w:rsidR="00336A2F" w:rsidRPr="00336A2F">
        <w:rPr>
          <w:rFonts w:cs="Simplified Arabic" w:hint="cs"/>
          <w:b/>
          <w:bCs/>
          <w:color w:val="FF0000"/>
          <w:sz w:val="36"/>
          <w:szCs w:val="36"/>
          <w:rtl/>
          <w:lang w:bidi="ar-DZ"/>
        </w:rPr>
        <w:t>:</w:t>
      </w:r>
    </w:p>
    <w:p w:rsidR="00284870" w:rsidRDefault="00337952" w:rsidP="00205DCA">
      <w:pPr>
        <w:bidi/>
        <w:spacing w:after="0" w:line="240" w:lineRule="auto"/>
        <w:jc w:val="both"/>
        <w:rPr>
          <w:rFonts w:cs="Simplified Arabic" w:hint="cs"/>
          <w:sz w:val="36"/>
          <w:szCs w:val="36"/>
          <w:rtl/>
          <w:lang w:bidi="ar-DZ"/>
        </w:rPr>
      </w:pPr>
      <w:r>
        <w:rPr>
          <w:rFonts w:cs="Simplified Arabic" w:hint="cs"/>
          <w:sz w:val="36"/>
          <w:szCs w:val="36"/>
          <w:rtl/>
          <w:lang w:bidi="ar-DZ"/>
        </w:rPr>
        <w:t xml:space="preserve"> </w:t>
      </w:r>
      <w:r w:rsidR="00F53807">
        <w:rPr>
          <w:rFonts w:cs="Simplified Arabic" w:hint="cs"/>
          <w:sz w:val="36"/>
          <w:szCs w:val="36"/>
          <w:rtl/>
          <w:lang w:bidi="ar-DZ"/>
        </w:rPr>
        <w:tab/>
      </w:r>
      <w:r w:rsidR="00284870">
        <w:rPr>
          <w:rFonts w:cs="Simplified Arabic" w:hint="cs"/>
          <w:sz w:val="36"/>
          <w:szCs w:val="36"/>
          <w:rtl/>
          <w:lang w:bidi="ar-DZ"/>
        </w:rPr>
        <w:t>اهتمّ النّقاد بالطّريقة الّتي يحقّق فيها ال</w:t>
      </w:r>
      <w:r w:rsidR="00885474">
        <w:rPr>
          <w:rFonts w:cs="Simplified Arabic" w:hint="cs"/>
          <w:sz w:val="36"/>
          <w:szCs w:val="36"/>
          <w:rtl/>
          <w:lang w:bidi="ar-DZ"/>
        </w:rPr>
        <w:t>ع</w:t>
      </w:r>
      <w:r w:rsidR="00284870">
        <w:rPr>
          <w:rFonts w:cs="Simplified Arabic" w:hint="cs"/>
          <w:sz w:val="36"/>
          <w:szCs w:val="36"/>
          <w:rtl/>
          <w:lang w:bidi="ar-DZ"/>
        </w:rPr>
        <w:t xml:space="preserve">مل </w:t>
      </w:r>
      <w:r w:rsidR="00885474">
        <w:rPr>
          <w:rFonts w:cs="Simplified Arabic" w:hint="cs"/>
          <w:sz w:val="36"/>
          <w:szCs w:val="36"/>
          <w:rtl/>
          <w:lang w:bidi="ar-DZ"/>
        </w:rPr>
        <w:t>ا</w:t>
      </w:r>
      <w:r w:rsidR="00284870">
        <w:rPr>
          <w:rFonts w:cs="Simplified Arabic" w:hint="cs"/>
          <w:sz w:val="36"/>
          <w:szCs w:val="36"/>
          <w:rtl/>
          <w:lang w:bidi="ar-DZ"/>
        </w:rPr>
        <w:t>لأدبي كينونته، باعتماد آليات ترتكز على الخصائص الفنّية الجمالية للأثر الأدبي، ندرجها كالآتي:</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التّركيز المطلق على العمل الأدبي بعيداً عن الاعتبارات الأخرى، كحياة الشّاعر وبيئته؛</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دراسة النّص معزولا عن مرجعياته المختلفة؛</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الاهتمام بالتّحليل العلمي للنّص؛</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الاهتمام بالسياق الدّاخلي للنّص لإنتاج أكبر قدر ممكن من المعاني؛</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دراسة الخصائص الفنّية والجمالية بعيداً عن الأطر التّاريخية والفلسفية؛</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عدم التّمركز حول ذات الشّاعر؛</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الإيمان بتعدّد مستويات المعنى، فليس ثمّة قصد يرمي إليه النّاص بفرضه على القارئ؛</w:t>
      </w:r>
    </w:p>
    <w:p w:rsidR="00284870" w:rsidRDefault="00284870" w:rsidP="00284870">
      <w:pPr>
        <w:pStyle w:val="Paragraphedeliste"/>
        <w:numPr>
          <w:ilvl w:val="0"/>
          <w:numId w:val="11"/>
        </w:numPr>
        <w:bidi/>
        <w:spacing w:after="0" w:line="240" w:lineRule="auto"/>
        <w:jc w:val="both"/>
        <w:rPr>
          <w:rFonts w:cs="Simplified Arabic" w:hint="cs"/>
          <w:sz w:val="36"/>
          <w:szCs w:val="36"/>
          <w:lang w:bidi="ar-DZ"/>
        </w:rPr>
      </w:pPr>
      <w:r>
        <w:rPr>
          <w:rFonts w:cs="Simplified Arabic" w:hint="cs"/>
          <w:sz w:val="36"/>
          <w:szCs w:val="36"/>
          <w:rtl/>
          <w:lang w:bidi="ar-DZ"/>
        </w:rPr>
        <w:t>ليس الهدف من القراءة النّقدية استخراج المحتوى أو الكشف عن المعنى، وإنّما تكمن الغاية في فهم وإفهام النّصوص الأدبية؛</w:t>
      </w:r>
    </w:p>
    <w:p w:rsidR="00284870" w:rsidRPr="00284870" w:rsidRDefault="00284870" w:rsidP="0070046A">
      <w:pPr>
        <w:pStyle w:val="Paragraphedeliste"/>
        <w:numPr>
          <w:ilvl w:val="0"/>
          <w:numId w:val="11"/>
        </w:numPr>
        <w:bidi/>
        <w:spacing w:after="0" w:line="240" w:lineRule="auto"/>
        <w:jc w:val="both"/>
        <w:rPr>
          <w:rFonts w:cs="Simplified Arabic" w:hint="cs"/>
          <w:sz w:val="36"/>
          <w:szCs w:val="36"/>
          <w:rtl/>
          <w:lang w:bidi="ar-DZ"/>
        </w:rPr>
      </w:pPr>
      <w:r>
        <w:rPr>
          <w:rFonts w:cs="Simplified Arabic" w:hint="cs"/>
          <w:sz w:val="36"/>
          <w:szCs w:val="36"/>
          <w:rtl/>
          <w:lang w:bidi="ar-DZ"/>
        </w:rPr>
        <w:lastRenderedPageBreak/>
        <w:t xml:space="preserve">الإعلاء من شأن الخيال الخلّاق ومبدأ الوحدة في النّص، وقد أثار هذه القضية شعراء الخيال الإنجليز، وعلى رأسهم "كولربيخ" بتقسيمه </w:t>
      </w:r>
      <w:r w:rsidR="0070046A">
        <w:rPr>
          <w:rFonts w:cs="Simplified Arabic" w:hint="cs"/>
          <w:sz w:val="36"/>
          <w:szCs w:val="36"/>
          <w:rtl/>
          <w:lang w:bidi="ar-DZ"/>
        </w:rPr>
        <w:t xml:space="preserve">الخيال إلى أوّلي موجود عند كلّ واحد فينا، وثانوي تختصّ به فئة من المبدعين، وهو القوّة الّتي يستطيع بواسطتها الشّاعر أو المؤلّف صهر مجموعة من الأحاسيس في إحساس واحد، ومجموعة من الصّور الشّعرية في صورة واحدة بطريقة أشبه بالصّهر، وهو ما يشكّل مبدأ الوحدة في النّصوص. </w:t>
      </w:r>
    </w:p>
    <w:p w:rsidR="00DD21B3" w:rsidRPr="00DD21B3" w:rsidRDefault="003F57ED" w:rsidP="0070046A">
      <w:pPr>
        <w:bidi/>
        <w:spacing w:after="0" w:line="240" w:lineRule="auto"/>
        <w:jc w:val="both"/>
        <w:rPr>
          <w:rFonts w:cs="Simplified Arabic" w:hint="cs"/>
          <w:b/>
          <w:bCs/>
          <w:color w:val="FF0000"/>
          <w:sz w:val="36"/>
          <w:szCs w:val="36"/>
          <w:rtl/>
          <w:lang w:bidi="ar-DZ"/>
        </w:rPr>
      </w:pPr>
      <w:r>
        <w:rPr>
          <w:rFonts w:cs="Simplified Arabic" w:hint="cs"/>
          <w:b/>
          <w:bCs/>
          <w:color w:val="FF0000"/>
          <w:sz w:val="36"/>
          <w:szCs w:val="36"/>
          <w:u w:val="single"/>
          <w:rtl/>
          <w:lang w:bidi="ar-DZ"/>
        </w:rPr>
        <w:t>أدوات النّقد الجديد</w:t>
      </w:r>
      <w:r w:rsidR="00DD21B3">
        <w:rPr>
          <w:rFonts w:cs="Simplified Arabic" w:hint="cs"/>
          <w:b/>
          <w:bCs/>
          <w:color w:val="FF0000"/>
          <w:sz w:val="36"/>
          <w:szCs w:val="36"/>
          <w:rtl/>
          <w:lang w:bidi="ar-DZ"/>
        </w:rPr>
        <w:t>:</w:t>
      </w:r>
    </w:p>
    <w:p w:rsidR="003F57ED" w:rsidRDefault="003F57ED" w:rsidP="004B45B5">
      <w:pPr>
        <w:bidi/>
        <w:spacing w:after="0" w:line="240" w:lineRule="auto"/>
        <w:ind w:firstLine="708"/>
        <w:jc w:val="both"/>
        <w:rPr>
          <w:rFonts w:cs="Simplified Arabic" w:hint="cs"/>
          <w:sz w:val="36"/>
          <w:szCs w:val="36"/>
          <w:rtl/>
          <w:lang w:bidi="ar-DZ"/>
        </w:rPr>
      </w:pPr>
      <w:r>
        <w:rPr>
          <w:rFonts w:cs="Simplified Arabic" w:hint="cs"/>
          <w:sz w:val="36"/>
          <w:szCs w:val="36"/>
          <w:rtl/>
          <w:lang w:bidi="ar-DZ"/>
        </w:rPr>
        <w:t>توجد أدوات تعين النّاقد على قراءة النّصوص، منها:</w:t>
      </w:r>
    </w:p>
    <w:p w:rsidR="009C3A90" w:rsidRDefault="003F57ED" w:rsidP="009C3A90">
      <w:pPr>
        <w:bidi/>
        <w:spacing w:after="0" w:line="240" w:lineRule="auto"/>
        <w:jc w:val="both"/>
        <w:rPr>
          <w:rFonts w:cs="Simplified Arabic" w:hint="cs"/>
          <w:b/>
          <w:bCs/>
          <w:color w:val="FF0000"/>
          <w:sz w:val="36"/>
          <w:szCs w:val="36"/>
          <w:rtl/>
          <w:lang w:bidi="ar-DZ"/>
        </w:rPr>
      </w:pPr>
      <w:r>
        <w:rPr>
          <w:rFonts w:cs="Simplified Arabic" w:hint="cs"/>
          <w:b/>
          <w:bCs/>
          <w:color w:val="FF0000"/>
          <w:sz w:val="36"/>
          <w:szCs w:val="36"/>
          <w:u w:val="single"/>
          <w:rtl/>
          <w:lang w:bidi="ar-DZ"/>
        </w:rPr>
        <w:t>الثّابت والمتحوّل</w:t>
      </w:r>
      <w:r w:rsidR="00DE4589" w:rsidRPr="00DE4589">
        <w:rPr>
          <w:rFonts w:cs="Simplified Arabic" w:hint="cs"/>
          <w:b/>
          <w:bCs/>
          <w:color w:val="FF0000"/>
          <w:sz w:val="36"/>
          <w:szCs w:val="36"/>
          <w:rtl/>
          <w:lang w:bidi="ar-DZ"/>
        </w:rPr>
        <w:t>:</w:t>
      </w:r>
    </w:p>
    <w:p w:rsidR="00644AF4" w:rsidRDefault="003F57ED" w:rsidP="007A1392">
      <w:pPr>
        <w:bidi/>
        <w:spacing w:after="0" w:line="240" w:lineRule="auto"/>
        <w:ind w:firstLine="708"/>
        <w:jc w:val="both"/>
        <w:rPr>
          <w:rFonts w:cs="Simplified Arabic" w:hint="cs"/>
          <w:sz w:val="36"/>
          <w:szCs w:val="36"/>
          <w:rtl/>
          <w:lang w:bidi="ar-DZ"/>
        </w:rPr>
      </w:pPr>
      <w:r>
        <w:rPr>
          <w:rFonts w:cs="Simplified Arabic" w:hint="cs"/>
          <w:sz w:val="36"/>
          <w:szCs w:val="36"/>
          <w:rtl/>
          <w:lang w:bidi="ar-DZ"/>
        </w:rPr>
        <w:t>إذ يوجد مفهوم ثابت للشّعر، وآخر متغيّر. يقول "كلينت بروكس": «</w:t>
      </w:r>
      <w:r w:rsidR="003C7C94">
        <w:rPr>
          <w:rFonts w:cs="Simplified Arabic" w:hint="cs"/>
          <w:sz w:val="36"/>
          <w:szCs w:val="36"/>
          <w:rtl/>
          <w:lang w:bidi="ar-DZ"/>
        </w:rPr>
        <w:t>كلّ قصيدة جديدة يقولها شاعر جديد، تغيّر مفهومنا عن الشّعر وتضيف إليه جديداً، وإن كان يحدث باستمرار إلّا أنّنا لا نكاد نشعر به، ذلك أنّ المعاني ليست ثابتة في النّصوص الشّعرية... والشّعر العظيم وليد ملكة خاصّة هي الخيال الثّانوي (الخلّاق) وليس الخيال الأوّلي، الخيال الخلّاق هو الّذي يمدّ الشّاعر الموهوب بالتّصورات الّتي تنصهر وتذوب وتتخلّق في القصيدة من جديد على نحو ما تختلف عن أصولها اختلافاً جديداً</w:t>
      </w:r>
      <w:r w:rsidR="0070287A">
        <w:rPr>
          <w:rFonts w:cs="Simplified Arabic" w:hint="cs"/>
          <w:sz w:val="36"/>
          <w:szCs w:val="36"/>
          <w:rtl/>
          <w:lang w:bidi="ar-DZ"/>
        </w:rPr>
        <w:t>»</w:t>
      </w:r>
      <w:r w:rsidR="003C7C94">
        <w:rPr>
          <w:rFonts w:cs="Simplified Arabic" w:hint="cs"/>
          <w:sz w:val="36"/>
          <w:szCs w:val="36"/>
          <w:rtl/>
          <w:lang w:bidi="ar-DZ"/>
        </w:rPr>
        <w:t xml:space="preserve">. </w:t>
      </w:r>
    </w:p>
    <w:p w:rsidR="002A7746" w:rsidRDefault="007A1392" w:rsidP="00644AF4">
      <w:pPr>
        <w:bidi/>
        <w:spacing w:after="0" w:line="240" w:lineRule="auto"/>
        <w:jc w:val="both"/>
        <w:rPr>
          <w:rFonts w:cs="Simplified Arabic" w:hint="cs"/>
          <w:sz w:val="36"/>
          <w:szCs w:val="36"/>
          <w:rtl/>
          <w:lang w:bidi="ar-DZ"/>
        </w:rPr>
      </w:pPr>
      <w:r>
        <w:rPr>
          <w:rFonts w:cs="Simplified Arabic" w:hint="cs"/>
          <w:b/>
          <w:bCs/>
          <w:color w:val="FF0000"/>
          <w:sz w:val="36"/>
          <w:szCs w:val="36"/>
          <w:u w:val="single"/>
          <w:rtl/>
          <w:lang w:bidi="ar-DZ"/>
        </w:rPr>
        <w:t>المفارقة</w:t>
      </w:r>
      <w:r w:rsidR="00644AF4" w:rsidRPr="00644AF4">
        <w:rPr>
          <w:rFonts w:cs="Simplified Arabic" w:hint="cs"/>
          <w:b/>
          <w:bCs/>
          <w:color w:val="FF0000"/>
          <w:sz w:val="36"/>
          <w:szCs w:val="36"/>
          <w:rtl/>
          <w:lang w:bidi="ar-DZ"/>
        </w:rPr>
        <w:t>:</w:t>
      </w:r>
      <w:r w:rsidR="002222A9" w:rsidRPr="00644AF4">
        <w:rPr>
          <w:rFonts w:cs="Simplified Arabic" w:hint="cs"/>
          <w:b/>
          <w:bCs/>
          <w:color w:val="FF0000"/>
          <w:sz w:val="36"/>
          <w:szCs w:val="36"/>
          <w:rtl/>
          <w:lang w:bidi="ar-DZ"/>
        </w:rPr>
        <w:t xml:space="preserve"> </w:t>
      </w:r>
      <w:r w:rsidR="0094126B">
        <w:rPr>
          <w:rFonts w:cs="Simplified Arabic" w:hint="cs"/>
          <w:sz w:val="36"/>
          <w:szCs w:val="36"/>
          <w:rtl/>
          <w:lang w:bidi="ar-DZ"/>
        </w:rPr>
        <w:t xml:space="preserve"> </w:t>
      </w:r>
      <w:r w:rsidR="001611A0">
        <w:rPr>
          <w:rFonts w:cs="Simplified Arabic" w:hint="cs"/>
          <w:sz w:val="36"/>
          <w:szCs w:val="36"/>
          <w:rtl/>
          <w:lang w:bidi="ar-DZ"/>
        </w:rPr>
        <w:t xml:space="preserve"> </w:t>
      </w:r>
    </w:p>
    <w:p w:rsidR="00E63D70" w:rsidRDefault="00E63D70" w:rsidP="004B45B5">
      <w:pPr>
        <w:bidi/>
        <w:spacing w:after="0" w:line="240" w:lineRule="auto"/>
        <w:ind w:firstLine="708"/>
        <w:jc w:val="both"/>
        <w:rPr>
          <w:rFonts w:cs="Simplified Arabic" w:hint="cs"/>
          <w:sz w:val="36"/>
          <w:szCs w:val="36"/>
          <w:rtl/>
          <w:lang w:bidi="ar-DZ"/>
        </w:rPr>
      </w:pPr>
      <w:r>
        <w:rPr>
          <w:rFonts w:cs="Simplified Arabic" w:hint="cs"/>
          <w:sz w:val="36"/>
          <w:szCs w:val="36"/>
          <w:rtl/>
          <w:lang w:bidi="ar-DZ"/>
        </w:rPr>
        <w:t>إذ تتألّف القصيدة في بنية درامية تقوم أساساً على مختلف الصّور البيانية، كالاستعارة والمجاز، فتتفاعل أجزاؤها في كلّ متكامل بشكل وحدة عضوية فنّية، أو كما سمّاها "دريتشاردز" بالتّوازن الدّاخلي المتزامن.</w:t>
      </w:r>
    </w:p>
    <w:p w:rsidR="00E63D70" w:rsidRDefault="00077DF0" w:rsidP="00E63D70">
      <w:pPr>
        <w:bidi/>
        <w:spacing w:after="0" w:line="240" w:lineRule="auto"/>
        <w:jc w:val="both"/>
        <w:rPr>
          <w:rFonts w:cs="Simplified Arabic" w:hint="cs"/>
          <w:sz w:val="36"/>
          <w:szCs w:val="36"/>
          <w:rtl/>
          <w:lang w:bidi="ar-DZ"/>
        </w:rPr>
      </w:pPr>
      <w:r>
        <w:rPr>
          <w:rFonts w:cs="Simplified Arabic" w:hint="cs"/>
          <w:b/>
          <w:bCs/>
          <w:color w:val="FF0000"/>
          <w:sz w:val="36"/>
          <w:szCs w:val="36"/>
          <w:u w:val="single"/>
          <w:rtl/>
          <w:lang w:bidi="ar-DZ"/>
        </w:rPr>
        <w:t>لغة الشّعر</w:t>
      </w:r>
      <w:r w:rsidR="00E63D70" w:rsidRPr="00644AF4">
        <w:rPr>
          <w:rFonts w:cs="Simplified Arabic" w:hint="cs"/>
          <w:b/>
          <w:bCs/>
          <w:color w:val="FF0000"/>
          <w:sz w:val="36"/>
          <w:szCs w:val="36"/>
          <w:rtl/>
          <w:lang w:bidi="ar-DZ"/>
        </w:rPr>
        <w:t xml:space="preserve">: </w:t>
      </w:r>
      <w:r w:rsidR="00E63D70">
        <w:rPr>
          <w:rFonts w:cs="Simplified Arabic" w:hint="cs"/>
          <w:sz w:val="36"/>
          <w:szCs w:val="36"/>
          <w:rtl/>
          <w:lang w:bidi="ar-DZ"/>
        </w:rPr>
        <w:t xml:space="preserve">  </w:t>
      </w:r>
    </w:p>
    <w:p w:rsidR="002E79EB" w:rsidRDefault="00E63D70" w:rsidP="002E79EB">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هي </w:t>
      </w:r>
      <w:r w:rsidR="002E79EB">
        <w:rPr>
          <w:rFonts w:cs="Simplified Arabic" w:hint="cs"/>
          <w:sz w:val="36"/>
          <w:szCs w:val="36"/>
          <w:rtl/>
          <w:lang w:bidi="ar-DZ"/>
        </w:rPr>
        <w:t xml:space="preserve">لغة معقّدة لاعتمادها على المجاز وحتّى التّجربة الإنسانية الّتي تعبّر عنها لا تقلّ تعقيداً، وتلك </w:t>
      </w:r>
      <w:r w:rsidR="00644AF4">
        <w:rPr>
          <w:rFonts w:cs="Simplified Arabic" w:hint="cs"/>
          <w:sz w:val="36"/>
          <w:szCs w:val="36"/>
          <w:rtl/>
          <w:lang w:bidi="ar-DZ"/>
        </w:rPr>
        <w:t>هي</w:t>
      </w:r>
      <w:r w:rsidR="002E79EB">
        <w:rPr>
          <w:rFonts w:cs="Simplified Arabic" w:hint="cs"/>
          <w:sz w:val="36"/>
          <w:szCs w:val="36"/>
          <w:rtl/>
          <w:lang w:bidi="ar-DZ"/>
        </w:rPr>
        <w:t xml:space="preserve"> سمة الشّعر النّاضج.</w:t>
      </w:r>
    </w:p>
    <w:p w:rsidR="004661BD" w:rsidRDefault="004661BD" w:rsidP="004661BD">
      <w:pPr>
        <w:bidi/>
        <w:spacing w:after="0" w:line="240" w:lineRule="auto"/>
        <w:jc w:val="both"/>
        <w:rPr>
          <w:rFonts w:cs="Simplified Arabic" w:hint="cs"/>
          <w:sz w:val="36"/>
          <w:szCs w:val="36"/>
          <w:rtl/>
          <w:lang w:bidi="ar-DZ"/>
        </w:rPr>
      </w:pPr>
      <w:r>
        <w:rPr>
          <w:rFonts w:cs="Simplified Arabic" w:hint="cs"/>
          <w:b/>
          <w:bCs/>
          <w:color w:val="FF0000"/>
          <w:sz w:val="36"/>
          <w:szCs w:val="36"/>
          <w:u w:val="single"/>
          <w:rtl/>
          <w:lang w:bidi="ar-DZ"/>
        </w:rPr>
        <w:t>المعادل الموضوعي</w:t>
      </w:r>
      <w:r w:rsidRPr="00644AF4">
        <w:rPr>
          <w:rFonts w:cs="Simplified Arabic" w:hint="cs"/>
          <w:b/>
          <w:bCs/>
          <w:color w:val="FF0000"/>
          <w:sz w:val="36"/>
          <w:szCs w:val="36"/>
          <w:rtl/>
          <w:lang w:bidi="ar-DZ"/>
        </w:rPr>
        <w:t xml:space="preserve">: </w:t>
      </w:r>
      <w:r>
        <w:rPr>
          <w:rFonts w:cs="Simplified Arabic" w:hint="cs"/>
          <w:sz w:val="36"/>
          <w:szCs w:val="36"/>
          <w:rtl/>
          <w:lang w:bidi="ar-DZ"/>
        </w:rPr>
        <w:t xml:space="preserve">  </w:t>
      </w:r>
    </w:p>
    <w:p w:rsidR="00FE3B29" w:rsidRDefault="00D22EE2" w:rsidP="004661BD">
      <w:pPr>
        <w:bidi/>
        <w:spacing w:after="0" w:line="240" w:lineRule="auto"/>
        <w:ind w:firstLine="708"/>
        <w:jc w:val="both"/>
        <w:rPr>
          <w:rFonts w:cs="Simplified Arabic" w:hint="cs"/>
          <w:sz w:val="36"/>
          <w:szCs w:val="36"/>
          <w:rtl/>
          <w:lang w:bidi="ar-DZ"/>
        </w:rPr>
      </w:pPr>
      <w:r>
        <w:rPr>
          <w:rFonts w:cs="Simplified Arabic" w:hint="cs"/>
          <w:sz w:val="36"/>
          <w:szCs w:val="36"/>
          <w:rtl/>
          <w:lang w:bidi="ar-DZ"/>
        </w:rPr>
        <w:lastRenderedPageBreak/>
        <w:t>ول</w:t>
      </w:r>
      <w:r w:rsidR="004661BD">
        <w:rPr>
          <w:rFonts w:cs="Simplified Arabic" w:hint="cs"/>
          <w:sz w:val="36"/>
          <w:szCs w:val="36"/>
          <w:rtl/>
          <w:lang w:bidi="ar-DZ"/>
        </w:rPr>
        <w:t>ه</w:t>
      </w:r>
      <w:r>
        <w:rPr>
          <w:rFonts w:cs="Simplified Arabic" w:hint="cs"/>
          <w:sz w:val="36"/>
          <w:szCs w:val="36"/>
          <w:rtl/>
          <w:lang w:bidi="ar-DZ"/>
        </w:rPr>
        <w:t xml:space="preserve">ا علاقة بالشّكل والمضمون في الأعمال الأدبية، ذلك أنّ العمل الأدبي لا </w:t>
      </w:r>
      <w:r w:rsidR="004661BD">
        <w:rPr>
          <w:rFonts w:cs="Simplified Arabic" w:hint="cs"/>
          <w:sz w:val="36"/>
          <w:szCs w:val="36"/>
          <w:rtl/>
          <w:lang w:bidi="ar-DZ"/>
        </w:rPr>
        <w:t>ي</w:t>
      </w:r>
      <w:r>
        <w:rPr>
          <w:rFonts w:cs="Simplified Arabic" w:hint="cs"/>
          <w:sz w:val="36"/>
          <w:szCs w:val="36"/>
          <w:rtl/>
          <w:lang w:bidi="ar-DZ"/>
        </w:rPr>
        <w:t xml:space="preserve">مكن أن يكون إلّا صورة لنفسه فقط، بمعنى أنّه لا يمكن أن يزوّدنا بشيء </w:t>
      </w:r>
      <w:r w:rsidR="009C2516">
        <w:rPr>
          <w:rFonts w:cs="Simplified Arabic" w:hint="cs"/>
          <w:sz w:val="36"/>
          <w:szCs w:val="36"/>
          <w:rtl/>
          <w:lang w:bidi="ar-DZ"/>
        </w:rPr>
        <w:t xml:space="preserve">خارج عن نطاقه </w:t>
      </w:r>
      <w:r w:rsidR="00FE3B29">
        <w:rPr>
          <w:rFonts w:cs="Simplified Arabic" w:hint="cs"/>
          <w:sz w:val="36"/>
          <w:szCs w:val="36"/>
          <w:rtl/>
          <w:lang w:bidi="ar-DZ"/>
        </w:rPr>
        <w:t>لأنّ قيمة العمل الأدبي ليست فيما يمدّنا به من معلومات أو خبرات مطلقة، بل في الأثر الّذي يحدثه في نفوسنا.</w:t>
      </w:r>
    </w:p>
    <w:p w:rsidR="00073A81" w:rsidRDefault="00FE3B29" w:rsidP="00FE3B29">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وأوّل من نقرأ له </w:t>
      </w:r>
      <w:r w:rsidR="00073A81">
        <w:rPr>
          <w:rFonts w:cs="Simplified Arabic" w:hint="cs"/>
          <w:sz w:val="36"/>
          <w:szCs w:val="36"/>
          <w:rtl/>
          <w:lang w:bidi="ar-DZ"/>
        </w:rPr>
        <w:t>مقولات النّقد الجديد في العالم العربي "رشاد رشدي" الّذي ناقش مجموعة من الأفكار القيمة في كتابه "ما هو الأدب؟" عن بلاغة العمل الأدبي، ذلك أنّ المفهوم القديم للبلاغة والّذي ساد عصوراً، وحدّدها على أساس أنّها مجرّد تعبير صادق عن إحساس صادق مارسه الأديب.</w:t>
      </w:r>
    </w:p>
    <w:p w:rsidR="00647BF1" w:rsidRDefault="00073A81" w:rsidP="00073A81">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كما اهتمّ "رشاد رشدي" بقضية الشّكل والمضمون، وناقش من خلالها علاقة الأدب بالعلم والحياة، ويستشهد في طرح هذه القضية </w:t>
      </w:r>
      <w:r w:rsidR="00DB63A1">
        <w:rPr>
          <w:rFonts w:cs="Simplified Arabic" w:hint="cs"/>
          <w:sz w:val="36"/>
          <w:szCs w:val="36"/>
          <w:rtl/>
          <w:lang w:bidi="ar-DZ"/>
        </w:rPr>
        <w:t xml:space="preserve">بأحد الكتّاب المعاصرين الّذي انتقد رواية "جيمس جويس"، فقال أنّ المعلومات النّفسية الّتي زوّدتنا بها الرّواية أقلّ بكثير من المعلومات النّفسية الّتي نحصل عليها </w:t>
      </w:r>
      <w:r w:rsidR="00647BF1">
        <w:rPr>
          <w:rFonts w:cs="Simplified Arabic" w:hint="cs"/>
          <w:sz w:val="36"/>
          <w:szCs w:val="36"/>
          <w:rtl/>
          <w:lang w:bidi="ar-DZ"/>
        </w:rPr>
        <w:t>من مؤلّفات "سيقموند فرويد".</w:t>
      </w:r>
    </w:p>
    <w:p w:rsidR="00847885" w:rsidRDefault="00647BF1" w:rsidP="00647BF1">
      <w:pPr>
        <w:bidi/>
        <w:spacing w:after="0" w:line="240" w:lineRule="auto"/>
        <w:ind w:firstLine="708"/>
        <w:jc w:val="both"/>
        <w:rPr>
          <w:rFonts w:cs="Simplified Arabic" w:hint="cs"/>
          <w:sz w:val="36"/>
          <w:szCs w:val="36"/>
          <w:rtl/>
          <w:lang w:bidi="ar-DZ"/>
        </w:rPr>
      </w:pPr>
      <w:r>
        <w:rPr>
          <w:rFonts w:cs="Simplified Arabic" w:hint="cs"/>
          <w:sz w:val="36"/>
          <w:szCs w:val="36"/>
          <w:rtl/>
          <w:lang w:bidi="ar-DZ"/>
        </w:rPr>
        <w:t xml:space="preserve">كما ناقش فكرة "موضوعية الأدب" فشخصية الكاتب وتجاربه في الحياة ليست هي الّتي تحدّد العمل الفنّي وتعطيه كيانه، وإنّما يرجع ذلك إلى تمكّن الفنّان من فنّه، فهو دون القدرة الفنّية </w:t>
      </w:r>
      <w:r w:rsidR="00847885">
        <w:rPr>
          <w:rFonts w:cs="Simplified Arabic" w:hint="cs"/>
          <w:sz w:val="36"/>
          <w:szCs w:val="36"/>
          <w:rtl/>
          <w:lang w:bidi="ar-DZ"/>
        </w:rPr>
        <w:t>لا يستطيع إلّا أن يسير في حيّز ضيّق، هو حيّز ذاتيته وبالتّالي لا يرقى إلى درجة الإبداع والخلق.</w:t>
      </w:r>
    </w:p>
    <w:p w:rsidR="004661BD" w:rsidRPr="002A7746" w:rsidRDefault="00847885" w:rsidP="00847885">
      <w:pPr>
        <w:bidi/>
        <w:spacing w:after="0" w:line="240" w:lineRule="auto"/>
        <w:ind w:firstLine="708"/>
        <w:jc w:val="both"/>
        <w:rPr>
          <w:rFonts w:cs="Simplified Arabic"/>
          <w:sz w:val="36"/>
          <w:szCs w:val="36"/>
          <w:rtl/>
          <w:lang w:bidi="ar-DZ"/>
        </w:rPr>
      </w:pPr>
      <w:r>
        <w:rPr>
          <w:rFonts w:cs="Simplified Arabic" w:hint="cs"/>
          <w:sz w:val="36"/>
          <w:szCs w:val="36"/>
          <w:rtl/>
          <w:lang w:bidi="ar-DZ"/>
        </w:rPr>
        <w:t xml:space="preserve">ومجمل </w:t>
      </w:r>
      <w:r w:rsidR="00D55600">
        <w:rPr>
          <w:rFonts w:cs="Simplified Arabic" w:hint="cs"/>
          <w:sz w:val="36"/>
          <w:szCs w:val="36"/>
          <w:rtl/>
          <w:lang w:bidi="ar-DZ"/>
        </w:rPr>
        <w:t>القول أنّ النّقد الجديد يختلف تماماً عن النّقد الحديث، إذ ابتعد عن السّياقات الخارجية المحيطة بالنّص الأدبي وتمركز حول النّص الأدبي وجمالياته الّتي تجعله عملاً إبداعياً.</w:t>
      </w:r>
      <w:r w:rsidR="004661BD">
        <w:rPr>
          <w:rFonts w:cs="Simplified Arabic" w:hint="cs"/>
          <w:sz w:val="36"/>
          <w:szCs w:val="36"/>
          <w:rtl/>
          <w:lang w:bidi="ar-DZ"/>
        </w:rPr>
        <w:t xml:space="preserve"> </w:t>
      </w:r>
    </w:p>
    <w:p w:rsidR="00E820BC" w:rsidRPr="002A7746" w:rsidRDefault="00644AF4" w:rsidP="002E79EB">
      <w:pPr>
        <w:bidi/>
        <w:spacing w:after="0" w:line="240" w:lineRule="auto"/>
        <w:ind w:firstLine="708"/>
        <w:jc w:val="both"/>
        <w:rPr>
          <w:rFonts w:cs="Simplified Arabic"/>
          <w:sz w:val="36"/>
          <w:szCs w:val="36"/>
          <w:rtl/>
          <w:lang w:bidi="ar-DZ"/>
        </w:rPr>
      </w:pPr>
      <w:r>
        <w:rPr>
          <w:rFonts w:cs="Simplified Arabic" w:hint="cs"/>
          <w:sz w:val="36"/>
          <w:szCs w:val="36"/>
          <w:rtl/>
          <w:lang w:bidi="ar-DZ"/>
        </w:rPr>
        <w:t xml:space="preserve"> </w:t>
      </w:r>
    </w:p>
    <w:p w:rsidR="002723C4" w:rsidRPr="002723C4" w:rsidRDefault="002723C4" w:rsidP="002723C4">
      <w:pPr>
        <w:bidi/>
        <w:spacing w:after="0" w:line="240" w:lineRule="auto"/>
        <w:jc w:val="both"/>
        <w:rPr>
          <w:rFonts w:cs="Simplified Arabic"/>
          <w:sz w:val="36"/>
          <w:szCs w:val="36"/>
          <w:lang w:bidi="ar-DZ"/>
        </w:rPr>
      </w:pPr>
    </w:p>
    <w:sectPr w:rsidR="002723C4" w:rsidRPr="002723C4" w:rsidSect="0033397D">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18" w:rsidRDefault="001D0E18" w:rsidP="001812FA">
      <w:pPr>
        <w:spacing w:after="0" w:line="240" w:lineRule="auto"/>
      </w:pPr>
      <w:r>
        <w:separator/>
      </w:r>
    </w:p>
  </w:endnote>
  <w:endnote w:type="continuationSeparator" w:id="1">
    <w:p w:rsidR="001D0E18" w:rsidRDefault="001D0E18" w:rsidP="00181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1087"/>
      <w:docPartObj>
        <w:docPartGallery w:val="Page Numbers (Bottom of Page)"/>
        <w:docPartUnique/>
      </w:docPartObj>
    </w:sdtPr>
    <w:sdtContent>
      <w:p w:rsidR="0094126B" w:rsidRDefault="0094126B">
        <w:pPr>
          <w:pStyle w:val="Pieddepage"/>
          <w:jc w:val="center"/>
        </w:pPr>
        <w:fldSimple w:instr=" PAGE   \* MERGEFORMAT ">
          <w:r w:rsidR="00D55600">
            <w:rPr>
              <w:noProof/>
            </w:rPr>
            <w:t>3</w:t>
          </w:r>
        </w:fldSimple>
      </w:p>
    </w:sdtContent>
  </w:sdt>
  <w:p w:rsidR="0094126B" w:rsidRDefault="009412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18" w:rsidRDefault="001D0E18" w:rsidP="001812FA">
      <w:pPr>
        <w:bidi/>
        <w:spacing w:after="0" w:line="240" w:lineRule="auto"/>
      </w:pPr>
      <w:r>
        <w:separator/>
      </w:r>
    </w:p>
  </w:footnote>
  <w:footnote w:type="continuationSeparator" w:id="1">
    <w:p w:rsidR="001D0E18" w:rsidRDefault="001D0E18" w:rsidP="00181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FBE"/>
    <w:multiLevelType w:val="hybridMultilevel"/>
    <w:tmpl w:val="D5DAC53A"/>
    <w:lvl w:ilvl="0" w:tplc="3154CA28">
      <w:start w:val="1"/>
      <w:numFmt w:val="arabicAbjad"/>
      <w:lvlText w:val="%1)"/>
      <w:lvlJc w:val="left"/>
      <w:pPr>
        <w:ind w:left="720" w:hanging="360"/>
      </w:pPr>
      <w:rPr>
        <w:rFonts w:asciiTheme="minorHAnsi" w:eastAsiaTheme="minorHAnsi" w:hAnsiTheme="minorHAnsi"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7521D8"/>
    <w:multiLevelType w:val="hybridMultilevel"/>
    <w:tmpl w:val="2CBC6FC4"/>
    <w:lvl w:ilvl="0" w:tplc="7B9CA1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DE657D"/>
    <w:multiLevelType w:val="hybridMultilevel"/>
    <w:tmpl w:val="B95CAB9A"/>
    <w:lvl w:ilvl="0" w:tplc="3F7284BC">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D941CA"/>
    <w:multiLevelType w:val="hybridMultilevel"/>
    <w:tmpl w:val="1B18D740"/>
    <w:lvl w:ilvl="0" w:tplc="F4226DF0">
      <w:start w:val="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667490"/>
    <w:multiLevelType w:val="hybridMultilevel"/>
    <w:tmpl w:val="7098FB8A"/>
    <w:lvl w:ilvl="0" w:tplc="E5C67476">
      <w:start w:val="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5F7689"/>
    <w:multiLevelType w:val="hybridMultilevel"/>
    <w:tmpl w:val="593E06C0"/>
    <w:lvl w:ilvl="0" w:tplc="373441B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6">
    <w:nsid w:val="41133737"/>
    <w:multiLevelType w:val="hybridMultilevel"/>
    <w:tmpl w:val="D626F134"/>
    <w:lvl w:ilvl="0" w:tplc="E2A6A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404210"/>
    <w:multiLevelType w:val="hybridMultilevel"/>
    <w:tmpl w:val="724686BE"/>
    <w:lvl w:ilvl="0" w:tplc="A8EE60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5765B3"/>
    <w:multiLevelType w:val="hybridMultilevel"/>
    <w:tmpl w:val="4D726F8A"/>
    <w:lvl w:ilvl="0" w:tplc="50CC09B2">
      <w:start w:val="1"/>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8406D1"/>
    <w:multiLevelType w:val="hybridMultilevel"/>
    <w:tmpl w:val="50B217DE"/>
    <w:lvl w:ilvl="0" w:tplc="3154CA28">
      <w:start w:val="1"/>
      <w:numFmt w:val="arabicAbjad"/>
      <w:lvlText w:val="%1)"/>
      <w:lvlJc w:val="left"/>
      <w:pPr>
        <w:ind w:left="720" w:hanging="360"/>
      </w:pPr>
      <w:rPr>
        <w:rFonts w:ascii="Times New Roman" w:eastAsia="Times New Roman" w:hAnsi="Times New Roman" w:cs="Simplified Arabic" w:hint="default"/>
        <w:b/>
        <w:color w:val="FF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E0972B7"/>
    <w:multiLevelType w:val="hybridMultilevel"/>
    <w:tmpl w:val="10F85E16"/>
    <w:lvl w:ilvl="0" w:tplc="2BA246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5"/>
  </w:num>
  <w:num w:numId="6">
    <w:abstractNumId w:val="10"/>
  </w:num>
  <w:num w:numId="7">
    <w:abstractNumId w:val="6"/>
  </w:num>
  <w:num w:numId="8">
    <w:abstractNumId w:val="2"/>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footnotePr>
    <w:footnote w:id="0"/>
    <w:footnote w:id="1"/>
  </w:footnotePr>
  <w:endnotePr>
    <w:endnote w:id="0"/>
    <w:endnote w:id="1"/>
  </w:endnotePr>
  <w:compat/>
  <w:rsids>
    <w:rsidRoot w:val="00E44975"/>
    <w:rsid w:val="000165DE"/>
    <w:rsid w:val="000170E8"/>
    <w:rsid w:val="00017F81"/>
    <w:rsid w:val="00031CBF"/>
    <w:rsid w:val="000425F9"/>
    <w:rsid w:val="00073A81"/>
    <w:rsid w:val="00077DF0"/>
    <w:rsid w:val="0009681C"/>
    <w:rsid w:val="000A476D"/>
    <w:rsid w:val="000A58CF"/>
    <w:rsid w:val="000B0C1B"/>
    <w:rsid w:val="000F3F9E"/>
    <w:rsid w:val="00103D20"/>
    <w:rsid w:val="001055C1"/>
    <w:rsid w:val="0011257C"/>
    <w:rsid w:val="001132BC"/>
    <w:rsid w:val="0011619F"/>
    <w:rsid w:val="00121E77"/>
    <w:rsid w:val="001302B9"/>
    <w:rsid w:val="001327A7"/>
    <w:rsid w:val="00135606"/>
    <w:rsid w:val="00144CD9"/>
    <w:rsid w:val="00153D67"/>
    <w:rsid w:val="001611A0"/>
    <w:rsid w:val="001628A1"/>
    <w:rsid w:val="00166EE4"/>
    <w:rsid w:val="001678C9"/>
    <w:rsid w:val="001812FA"/>
    <w:rsid w:val="001A108A"/>
    <w:rsid w:val="001A6438"/>
    <w:rsid w:val="001D0E18"/>
    <w:rsid w:val="001E5FE0"/>
    <w:rsid w:val="001F3CF4"/>
    <w:rsid w:val="00200F12"/>
    <w:rsid w:val="00205DCA"/>
    <w:rsid w:val="002222A9"/>
    <w:rsid w:val="00225199"/>
    <w:rsid w:val="00233553"/>
    <w:rsid w:val="00244023"/>
    <w:rsid w:val="00246DB7"/>
    <w:rsid w:val="002510BA"/>
    <w:rsid w:val="00256567"/>
    <w:rsid w:val="002701E1"/>
    <w:rsid w:val="002723C4"/>
    <w:rsid w:val="00274EDF"/>
    <w:rsid w:val="00276679"/>
    <w:rsid w:val="00282BAA"/>
    <w:rsid w:val="00284870"/>
    <w:rsid w:val="0029192A"/>
    <w:rsid w:val="0029517A"/>
    <w:rsid w:val="00296569"/>
    <w:rsid w:val="002A7746"/>
    <w:rsid w:val="002E1979"/>
    <w:rsid w:val="002E2C98"/>
    <w:rsid w:val="002E79EB"/>
    <w:rsid w:val="0030238E"/>
    <w:rsid w:val="003247E9"/>
    <w:rsid w:val="00327BEB"/>
    <w:rsid w:val="0033397D"/>
    <w:rsid w:val="00336A2F"/>
    <w:rsid w:val="00337952"/>
    <w:rsid w:val="00340238"/>
    <w:rsid w:val="00342227"/>
    <w:rsid w:val="00347FAE"/>
    <w:rsid w:val="00377BCC"/>
    <w:rsid w:val="003800B0"/>
    <w:rsid w:val="00394BE9"/>
    <w:rsid w:val="00395B42"/>
    <w:rsid w:val="003A3644"/>
    <w:rsid w:val="003A7ACC"/>
    <w:rsid w:val="003C7C94"/>
    <w:rsid w:val="003F57ED"/>
    <w:rsid w:val="00414411"/>
    <w:rsid w:val="00417820"/>
    <w:rsid w:val="0043780C"/>
    <w:rsid w:val="00442B15"/>
    <w:rsid w:val="004457EC"/>
    <w:rsid w:val="004503BB"/>
    <w:rsid w:val="00456D0E"/>
    <w:rsid w:val="004626F3"/>
    <w:rsid w:val="004661BD"/>
    <w:rsid w:val="00467B35"/>
    <w:rsid w:val="00483BF9"/>
    <w:rsid w:val="00490755"/>
    <w:rsid w:val="004B45B5"/>
    <w:rsid w:val="004D13A2"/>
    <w:rsid w:val="004F541C"/>
    <w:rsid w:val="004F5EEC"/>
    <w:rsid w:val="00506CC5"/>
    <w:rsid w:val="005179A0"/>
    <w:rsid w:val="005337A2"/>
    <w:rsid w:val="00541FEF"/>
    <w:rsid w:val="005430AE"/>
    <w:rsid w:val="00556856"/>
    <w:rsid w:val="005709AA"/>
    <w:rsid w:val="00573112"/>
    <w:rsid w:val="00582D0A"/>
    <w:rsid w:val="005B2420"/>
    <w:rsid w:val="005B2849"/>
    <w:rsid w:val="005B5BF8"/>
    <w:rsid w:val="005C320E"/>
    <w:rsid w:val="005C3AA3"/>
    <w:rsid w:val="005D60F3"/>
    <w:rsid w:val="006024D4"/>
    <w:rsid w:val="00613946"/>
    <w:rsid w:val="0062155A"/>
    <w:rsid w:val="00637FAA"/>
    <w:rsid w:val="00644AF4"/>
    <w:rsid w:val="00647BF1"/>
    <w:rsid w:val="00660E4B"/>
    <w:rsid w:val="006A6A20"/>
    <w:rsid w:val="006F15F7"/>
    <w:rsid w:val="006F1E6D"/>
    <w:rsid w:val="006F4B2E"/>
    <w:rsid w:val="006F6282"/>
    <w:rsid w:val="0070046A"/>
    <w:rsid w:val="007004F8"/>
    <w:rsid w:val="0070287A"/>
    <w:rsid w:val="00703CDA"/>
    <w:rsid w:val="007048AB"/>
    <w:rsid w:val="00706267"/>
    <w:rsid w:val="0071032F"/>
    <w:rsid w:val="00722082"/>
    <w:rsid w:val="00737DD0"/>
    <w:rsid w:val="0074188D"/>
    <w:rsid w:val="00773F43"/>
    <w:rsid w:val="007A1392"/>
    <w:rsid w:val="007C7A22"/>
    <w:rsid w:val="007D42DB"/>
    <w:rsid w:val="007D5C7A"/>
    <w:rsid w:val="007E2927"/>
    <w:rsid w:val="007F2D4A"/>
    <w:rsid w:val="00805989"/>
    <w:rsid w:val="0080750D"/>
    <w:rsid w:val="008142A6"/>
    <w:rsid w:val="00815079"/>
    <w:rsid w:val="00816FBE"/>
    <w:rsid w:val="00827B1A"/>
    <w:rsid w:val="00830CEB"/>
    <w:rsid w:val="008347C1"/>
    <w:rsid w:val="00847885"/>
    <w:rsid w:val="00855665"/>
    <w:rsid w:val="008704B9"/>
    <w:rsid w:val="00885474"/>
    <w:rsid w:val="008A1C31"/>
    <w:rsid w:val="008B4143"/>
    <w:rsid w:val="008C4460"/>
    <w:rsid w:val="008C5A1A"/>
    <w:rsid w:val="008E0A9D"/>
    <w:rsid w:val="008F45AB"/>
    <w:rsid w:val="008F5D93"/>
    <w:rsid w:val="00924F88"/>
    <w:rsid w:val="0092646E"/>
    <w:rsid w:val="0094126B"/>
    <w:rsid w:val="00947FA1"/>
    <w:rsid w:val="009523D1"/>
    <w:rsid w:val="00965BC4"/>
    <w:rsid w:val="009722EC"/>
    <w:rsid w:val="0099139E"/>
    <w:rsid w:val="00991AAA"/>
    <w:rsid w:val="009A4BEC"/>
    <w:rsid w:val="009C2516"/>
    <w:rsid w:val="009C3245"/>
    <w:rsid w:val="009C3A90"/>
    <w:rsid w:val="009C45D7"/>
    <w:rsid w:val="009D0E9B"/>
    <w:rsid w:val="009D5A0C"/>
    <w:rsid w:val="009E3E0C"/>
    <w:rsid w:val="009E7ED7"/>
    <w:rsid w:val="009F60B8"/>
    <w:rsid w:val="009F7611"/>
    <w:rsid w:val="00A32A1E"/>
    <w:rsid w:val="00A409D6"/>
    <w:rsid w:val="00A40F96"/>
    <w:rsid w:val="00A43AED"/>
    <w:rsid w:val="00A44DA0"/>
    <w:rsid w:val="00A56CDF"/>
    <w:rsid w:val="00A82EDC"/>
    <w:rsid w:val="00A92A3E"/>
    <w:rsid w:val="00AB2627"/>
    <w:rsid w:val="00AB5122"/>
    <w:rsid w:val="00AD3B6F"/>
    <w:rsid w:val="00AF0CAC"/>
    <w:rsid w:val="00B042A2"/>
    <w:rsid w:val="00B14609"/>
    <w:rsid w:val="00B15838"/>
    <w:rsid w:val="00B21CEA"/>
    <w:rsid w:val="00B230E6"/>
    <w:rsid w:val="00B26B93"/>
    <w:rsid w:val="00B3119F"/>
    <w:rsid w:val="00B53D4A"/>
    <w:rsid w:val="00B54646"/>
    <w:rsid w:val="00B91726"/>
    <w:rsid w:val="00BA02A1"/>
    <w:rsid w:val="00BA6C19"/>
    <w:rsid w:val="00BB48A6"/>
    <w:rsid w:val="00BD19B5"/>
    <w:rsid w:val="00BD61D7"/>
    <w:rsid w:val="00BF3F71"/>
    <w:rsid w:val="00C12E56"/>
    <w:rsid w:val="00C20A5E"/>
    <w:rsid w:val="00C277DB"/>
    <w:rsid w:val="00C30DFD"/>
    <w:rsid w:val="00C440B1"/>
    <w:rsid w:val="00C454FD"/>
    <w:rsid w:val="00C506D8"/>
    <w:rsid w:val="00C56C86"/>
    <w:rsid w:val="00C603A4"/>
    <w:rsid w:val="00C654F1"/>
    <w:rsid w:val="00C6617E"/>
    <w:rsid w:val="00C762AC"/>
    <w:rsid w:val="00C97987"/>
    <w:rsid w:val="00CA1841"/>
    <w:rsid w:val="00CB4FA2"/>
    <w:rsid w:val="00CB688D"/>
    <w:rsid w:val="00CC127D"/>
    <w:rsid w:val="00CC4E86"/>
    <w:rsid w:val="00CD0FCA"/>
    <w:rsid w:val="00CD63A6"/>
    <w:rsid w:val="00CE3927"/>
    <w:rsid w:val="00CE5E49"/>
    <w:rsid w:val="00D034A2"/>
    <w:rsid w:val="00D041B9"/>
    <w:rsid w:val="00D16203"/>
    <w:rsid w:val="00D20B7E"/>
    <w:rsid w:val="00D21EEA"/>
    <w:rsid w:val="00D22EE2"/>
    <w:rsid w:val="00D24D43"/>
    <w:rsid w:val="00D55600"/>
    <w:rsid w:val="00D855C2"/>
    <w:rsid w:val="00D91635"/>
    <w:rsid w:val="00D9727B"/>
    <w:rsid w:val="00DA22C9"/>
    <w:rsid w:val="00DB63A1"/>
    <w:rsid w:val="00DC1E3D"/>
    <w:rsid w:val="00DD21B3"/>
    <w:rsid w:val="00DD3F9C"/>
    <w:rsid w:val="00DE2679"/>
    <w:rsid w:val="00DE4589"/>
    <w:rsid w:val="00DF16A3"/>
    <w:rsid w:val="00E109CC"/>
    <w:rsid w:val="00E146FB"/>
    <w:rsid w:val="00E1747E"/>
    <w:rsid w:val="00E257F3"/>
    <w:rsid w:val="00E4386D"/>
    <w:rsid w:val="00E44975"/>
    <w:rsid w:val="00E53ED2"/>
    <w:rsid w:val="00E54790"/>
    <w:rsid w:val="00E63D70"/>
    <w:rsid w:val="00E65ABB"/>
    <w:rsid w:val="00E707F8"/>
    <w:rsid w:val="00E76FFC"/>
    <w:rsid w:val="00E820BC"/>
    <w:rsid w:val="00E8524A"/>
    <w:rsid w:val="00EA4E9F"/>
    <w:rsid w:val="00EA703D"/>
    <w:rsid w:val="00EA7DCB"/>
    <w:rsid w:val="00EC4BA7"/>
    <w:rsid w:val="00EC7859"/>
    <w:rsid w:val="00ED4393"/>
    <w:rsid w:val="00ED755A"/>
    <w:rsid w:val="00EE6944"/>
    <w:rsid w:val="00F036CC"/>
    <w:rsid w:val="00F118B1"/>
    <w:rsid w:val="00F20BE9"/>
    <w:rsid w:val="00F4462A"/>
    <w:rsid w:val="00F4756C"/>
    <w:rsid w:val="00F53807"/>
    <w:rsid w:val="00F6492B"/>
    <w:rsid w:val="00F76BB1"/>
    <w:rsid w:val="00F77A48"/>
    <w:rsid w:val="00F9414A"/>
    <w:rsid w:val="00F96BFF"/>
    <w:rsid w:val="00FA3B3E"/>
    <w:rsid w:val="00FB65B9"/>
    <w:rsid w:val="00FB69C2"/>
    <w:rsid w:val="00FC40AF"/>
    <w:rsid w:val="00FD0EC6"/>
    <w:rsid w:val="00FE3B29"/>
    <w:rsid w:val="00FE74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5F7"/>
    <w:pPr>
      <w:ind w:left="720"/>
      <w:contextualSpacing/>
    </w:pPr>
  </w:style>
  <w:style w:type="table" w:styleId="Grilledutableau">
    <w:name w:val="Table Grid"/>
    <w:basedOn w:val="TableauNormal"/>
    <w:uiPriority w:val="59"/>
    <w:rsid w:val="00660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812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2FA"/>
    <w:rPr>
      <w:sz w:val="20"/>
      <w:szCs w:val="20"/>
    </w:rPr>
  </w:style>
  <w:style w:type="character" w:styleId="Appelnotedebasdep">
    <w:name w:val="footnote reference"/>
    <w:basedOn w:val="Policepardfaut"/>
    <w:uiPriority w:val="99"/>
    <w:semiHidden/>
    <w:unhideWhenUsed/>
    <w:rsid w:val="001812FA"/>
    <w:rPr>
      <w:vertAlign w:val="superscript"/>
    </w:rPr>
  </w:style>
  <w:style w:type="paragraph" w:styleId="En-tte">
    <w:name w:val="header"/>
    <w:basedOn w:val="Normal"/>
    <w:link w:val="En-tteCar"/>
    <w:uiPriority w:val="99"/>
    <w:semiHidden/>
    <w:unhideWhenUsed/>
    <w:rsid w:val="001812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12FA"/>
  </w:style>
  <w:style w:type="paragraph" w:styleId="Pieddepage">
    <w:name w:val="footer"/>
    <w:basedOn w:val="Normal"/>
    <w:link w:val="PieddepageCar"/>
    <w:uiPriority w:val="99"/>
    <w:unhideWhenUsed/>
    <w:rsid w:val="00181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2FA"/>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65D9-9D56-42A1-9528-B47FAD9D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cp:lastModifiedBy>
  <cp:revision>23</cp:revision>
  <dcterms:created xsi:type="dcterms:W3CDTF">2021-02-08T12:42:00Z</dcterms:created>
  <dcterms:modified xsi:type="dcterms:W3CDTF">2021-02-08T13:26:00Z</dcterms:modified>
</cp:coreProperties>
</file>