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83" w:rsidRPr="000A476D" w:rsidRDefault="000A476D" w:rsidP="00E109CC">
      <w:pPr>
        <w:bidi/>
        <w:spacing w:after="0" w:line="240" w:lineRule="auto"/>
        <w:jc w:val="center"/>
        <w:rPr>
          <w:rFonts w:cs="Simplified Arabic"/>
          <w:b/>
          <w:bCs/>
          <w:color w:val="C00000"/>
          <w:sz w:val="36"/>
          <w:szCs w:val="36"/>
          <w:u w:val="single"/>
          <w:rtl/>
          <w:lang w:bidi="ar-DZ"/>
        </w:rPr>
      </w:pPr>
      <w:r w:rsidRPr="000A476D">
        <w:rPr>
          <w:rFonts w:cs="Simplified Arabic" w:hint="cs"/>
          <w:b/>
          <w:bCs/>
          <w:color w:val="C00000"/>
          <w:sz w:val="36"/>
          <w:szCs w:val="36"/>
          <w:u w:val="single"/>
          <w:rtl/>
          <w:lang w:bidi="ar-DZ"/>
        </w:rPr>
        <w:t xml:space="preserve">المحاضرة </w:t>
      </w:r>
      <w:r w:rsidR="00E109CC">
        <w:rPr>
          <w:rFonts w:cs="Simplified Arabic" w:hint="cs"/>
          <w:b/>
          <w:bCs/>
          <w:color w:val="C00000"/>
          <w:sz w:val="36"/>
          <w:szCs w:val="36"/>
          <w:u w:val="single"/>
          <w:rtl/>
          <w:lang w:bidi="ar-DZ"/>
        </w:rPr>
        <w:t>التّاسعة</w:t>
      </w:r>
      <w:r w:rsidRPr="000A476D">
        <w:rPr>
          <w:rFonts w:cs="Simplified Arabic" w:hint="cs"/>
          <w:b/>
          <w:bCs/>
          <w:color w:val="C00000"/>
          <w:sz w:val="36"/>
          <w:szCs w:val="36"/>
          <w:u w:val="single"/>
          <w:rtl/>
          <w:lang w:bidi="ar-DZ"/>
        </w:rPr>
        <w:t xml:space="preserve">: </w:t>
      </w:r>
      <w:r w:rsidR="00E109CC">
        <w:rPr>
          <w:rFonts w:cs="Simplified Arabic" w:hint="cs"/>
          <w:b/>
          <w:bCs/>
          <w:color w:val="C00000"/>
          <w:sz w:val="36"/>
          <w:szCs w:val="36"/>
          <w:u w:val="single"/>
          <w:rtl/>
          <w:lang w:bidi="ar-DZ"/>
        </w:rPr>
        <w:t>النّقد الاجتماعي</w:t>
      </w:r>
    </w:p>
    <w:p w:rsidR="00B21CEA" w:rsidRDefault="00965BC4" w:rsidP="00337952">
      <w:pPr>
        <w:bidi/>
        <w:spacing w:after="0" w:line="240" w:lineRule="auto"/>
        <w:jc w:val="both"/>
        <w:rPr>
          <w:rFonts w:cs="Simplified Arabic"/>
          <w:sz w:val="36"/>
          <w:szCs w:val="36"/>
          <w:rtl/>
          <w:lang w:bidi="ar-DZ"/>
        </w:rPr>
      </w:pPr>
      <w:r>
        <w:rPr>
          <w:rFonts w:cs="Simplified Arabic" w:hint="cs"/>
          <w:sz w:val="36"/>
          <w:szCs w:val="36"/>
          <w:rtl/>
          <w:lang w:bidi="ar-DZ"/>
        </w:rPr>
        <w:tab/>
      </w:r>
      <w:r w:rsidR="00337952">
        <w:rPr>
          <w:rFonts w:cs="Simplified Arabic" w:hint="cs"/>
          <w:sz w:val="36"/>
          <w:szCs w:val="36"/>
          <w:rtl/>
          <w:lang w:bidi="ar-DZ"/>
        </w:rPr>
        <w:t xml:space="preserve">إنّ العلاقة بين الأدب والمنهج الاجتماعي وثيقة جدّاً رغم أنّ هذا الأخير حديث النّشأة، إلّا أنّ </w:t>
      </w:r>
      <w:r w:rsidR="00B21CEA">
        <w:rPr>
          <w:rFonts w:cs="Simplified Arabic" w:hint="cs"/>
          <w:sz w:val="36"/>
          <w:szCs w:val="36"/>
          <w:rtl/>
          <w:lang w:bidi="ar-DZ"/>
        </w:rPr>
        <w:t xml:space="preserve">قواعده قديمة باعتبار أنّه مرتبط بالمجتمع، ويقوم المنهج الاجتماعي بتفسير الأدب، انطلاقاً من العوامل الخارجية، ممّا يفرض على النّاقد استخدام آليات العلم التّجريبي في الدّراسة. وقد برزت العديد من الأسماء في حقل مناهج البحث الاجتماعي، تتمثّل في مجهودات مدام دي ستايل- وهيبوليت تين وجورج لوكاتش وغيرهم </w:t>
      </w:r>
      <w:r w:rsidR="00B21CEA">
        <w:rPr>
          <w:rFonts w:cs="Simplified Arabic"/>
          <w:sz w:val="36"/>
          <w:szCs w:val="36"/>
          <w:rtl/>
          <w:lang w:bidi="ar-DZ"/>
        </w:rPr>
        <w:t>–</w:t>
      </w:r>
      <w:r w:rsidR="00B21CEA">
        <w:rPr>
          <w:rFonts w:cs="Simplified Arabic" w:hint="cs"/>
          <w:sz w:val="36"/>
          <w:szCs w:val="36"/>
          <w:rtl/>
          <w:lang w:bidi="ar-DZ"/>
        </w:rPr>
        <w:t xml:space="preserve"> فتين </w:t>
      </w:r>
      <w:r w:rsidR="00B21CEA">
        <w:rPr>
          <w:rFonts w:cs="Simplified Arabic"/>
          <w:sz w:val="36"/>
          <w:szCs w:val="36"/>
          <w:rtl/>
          <w:lang w:bidi="ar-DZ"/>
        </w:rPr>
        <w:t>–</w:t>
      </w:r>
      <w:r w:rsidR="00B21CEA">
        <w:rPr>
          <w:rFonts w:cs="Simplified Arabic" w:hint="cs"/>
          <w:sz w:val="36"/>
          <w:szCs w:val="36"/>
          <w:rtl/>
          <w:lang w:bidi="ar-DZ"/>
        </w:rPr>
        <w:t xml:space="preserve"> مثلا </w:t>
      </w:r>
      <w:r w:rsidR="00B21CEA">
        <w:rPr>
          <w:rFonts w:cs="Simplified Arabic"/>
          <w:sz w:val="36"/>
          <w:szCs w:val="36"/>
          <w:rtl/>
          <w:lang w:bidi="ar-DZ"/>
        </w:rPr>
        <w:t>–</w:t>
      </w:r>
      <w:r w:rsidR="00B21CEA">
        <w:rPr>
          <w:rFonts w:cs="Simplified Arabic" w:hint="cs"/>
          <w:sz w:val="36"/>
          <w:szCs w:val="36"/>
          <w:rtl/>
          <w:lang w:bidi="ar-DZ"/>
        </w:rPr>
        <w:t xml:space="preserve"> يقرّ بأنّ الأدب حصيلة الفترة والعنصر والوسط.</w:t>
      </w:r>
    </w:p>
    <w:p w:rsidR="00B21CEA" w:rsidRDefault="00B21CEA" w:rsidP="00B21CEA">
      <w:pPr>
        <w:bidi/>
        <w:spacing w:after="0" w:line="240" w:lineRule="auto"/>
        <w:jc w:val="both"/>
        <w:rPr>
          <w:rFonts w:cs="Simplified Arabic"/>
          <w:sz w:val="36"/>
          <w:szCs w:val="36"/>
          <w:rtl/>
          <w:lang w:bidi="ar-DZ"/>
        </w:rPr>
      </w:pPr>
      <w:r>
        <w:rPr>
          <w:rFonts w:cs="Simplified Arabic" w:hint="cs"/>
          <w:sz w:val="36"/>
          <w:szCs w:val="36"/>
          <w:rtl/>
          <w:lang w:bidi="ar-DZ"/>
        </w:rPr>
        <w:tab/>
        <w:t>وقد ارتكزت دعائم العلاقة بين الأدب والمجتمع، وكذا الواقع إلى مجموعة من الرّكائز، تدرّجت في التّطور شيئاً فشيئاً، بدءاً من نظرية المحاكاة عند أفلاطون وأرسطو (الشّعر نوع من المحاكاة)، وكذا نظرية الانعكاس الّتي استندت إلى الفلسفة الواقعية المادية في تفسير الأدب، والماركسية الّتي أقرّت أيضاً بالعلاقة بين الأدب والواقع...</w:t>
      </w:r>
    </w:p>
    <w:p w:rsidR="00C6617E" w:rsidRDefault="00B21CEA" w:rsidP="00B21CEA">
      <w:pPr>
        <w:bidi/>
        <w:spacing w:after="0" w:line="240" w:lineRule="auto"/>
        <w:jc w:val="both"/>
        <w:rPr>
          <w:rFonts w:cs="Simplified Arabic"/>
          <w:sz w:val="36"/>
          <w:szCs w:val="36"/>
          <w:rtl/>
          <w:lang w:bidi="ar-DZ"/>
        </w:rPr>
      </w:pPr>
      <w:r>
        <w:rPr>
          <w:rFonts w:cs="Simplified Arabic" w:hint="cs"/>
          <w:sz w:val="36"/>
          <w:szCs w:val="36"/>
          <w:rtl/>
          <w:lang w:bidi="ar-DZ"/>
        </w:rPr>
        <w:tab/>
        <w:t xml:space="preserve">وكلّ هذه الاتّجاهات أثّرت في النّقد العربي، بأعلامه ونقّاده، نذكر على رأسهم: سلامة موسى </w:t>
      </w:r>
      <w:r>
        <w:rPr>
          <w:rFonts w:cs="Simplified Arabic"/>
          <w:sz w:val="36"/>
          <w:szCs w:val="36"/>
          <w:rtl/>
          <w:lang w:bidi="ar-DZ"/>
        </w:rPr>
        <w:t>–</w:t>
      </w:r>
      <w:r>
        <w:rPr>
          <w:rFonts w:cs="Simplified Arabic" w:hint="cs"/>
          <w:sz w:val="36"/>
          <w:szCs w:val="36"/>
          <w:rtl/>
          <w:lang w:bidi="ar-DZ"/>
        </w:rPr>
        <w:t xml:space="preserve"> لويس عوض </w:t>
      </w:r>
      <w:r>
        <w:rPr>
          <w:rFonts w:cs="Simplified Arabic"/>
          <w:sz w:val="36"/>
          <w:szCs w:val="36"/>
          <w:rtl/>
          <w:lang w:bidi="ar-DZ"/>
        </w:rPr>
        <w:t>–</w:t>
      </w:r>
      <w:r>
        <w:rPr>
          <w:rFonts w:cs="Simplified Arabic" w:hint="cs"/>
          <w:sz w:val="36"/>
          <w:szCs w:val="36"/>
          <w:rtl/>
          <w:lang w:bidi="ar-DZ"/>
        </w:rPr>
        <w:t xml:space="preserve"> حسين مروة </w:t>
      </w:r>
      <w:r>
        <w:rPr>
          <w:rFonts w:cs="Simplified Arabic"/>
          <w:sz w:val="36"/>
          <w:szCs w:val="36"/>
          <w:rtl/>
          <w:lang w:bidi="ar-DZ"/>
        </w:rPr>
        <w:t>–</w:t>
      </w:r>
      <w:r>
        <w:rPr>
          <w:rFonts w:cs="Simplified Arabic" w:hint="cs"/>
          <w:sz w:val="36"/>
          <w:szCs w:val="36"/>
          <w:rtl/>
          <w:lang w:bidi="ar-DZ"/>
        </w:rPr>
        <w:t xml:space="preserve"> أمين العالم... و«برز ال</w:t>
      </w:r>
      <w:r w:rsidR="00C440B1">
        <w:rPr>
          <w:rFonts w:cs="Simplified Arabic" w:hint="cs"/>
          <w:sz w:val="36"/>
          <w:szCs w:val="36"/>
          <w:rtl/>
          <w:lang w:bidi="ar-DZ"/>
        </w:rPr>
        <w:t xml:space="preserve">منهج الاجتماعي كحركة نقدية موجّهة للأديب في بداية القرن 19 حين تغلّبت النّظريات الاشتراكية والرّأسمالية على النّظم الاقتصادية والاجتماعية في العالم العربي، فظهرت طبقة </w:t>
      </w:r>
      <w:r w:rsidR="008F5D93">
        <w:rPr>
          <w:rFonts w:cs="Simplified Arabic" w:hint="cs"/>
          <w:sz w:val="36"/>
          <w:szCs w:val="36"/>
          <w:rtl/>
          <w:lang w:bidi="ar-DZ"/>
        </w:rPr>
        <w:t xml:space="preserve">من النّقاد ترى أنّ الأدب في خدمة المجتمع أو هكذا ينبغي أن يكون، وأنّ النّقد </w:t>
      </w:r>
      <w:r w:rsidR="00AB5122">
        <w:rPr>
          <w:rFonts w:cs="Simplified Arabic" w:hint="cs"/>
          <w:sz w:val="36"/>
          <w:szCs w:val="36"/>
          <w:rtl/>
          <w:lang w:bidi="ar-DZ"/>
        </w:rPr>
        <w:t>يصبح عديم الفائدة إذا تحجّر أمام جمال النّص أو رداءته...»</w:t>
      </w:r>
      <w:r w:rsidR="00C6617E">
        <w:rPr>
          <w:rFonts w:cs="Simplified Arabic" w:hint="cs"/>
          <w:sz w:val="36"/>
          <w:szCs w:val="36"/>
          <w:rtl/>
          <w:lang w:bidi="ar-DZ"/>
        </w:rPr>
        <w:t>.</w:t>
      </w:r>
    </w:p>
    <w:p w:rsidR="00506CC5" w:rsidRDefault="00C6617E" w:rsidP="00C6617E">
      <w:pPr>
        <w:bidi/>
        <w:spacing w:after="0" w:line="240" w:lineRule="auto"/>
        <w:jc w:val="both"/>
        <w:rPr>
          <w:rFonts w:cs="Simplified Arabic" w:hint="cs"/>
          <w:sz w:val="36"/>
          <w:szCs w:val="36"/>
          <w:rtl/>
          <w:lang w:bidi="ar-DZ"/>
        </w:rPr>
      </w:pPr>
      <w:r>
        <w:rPr>
          <w:rFonts w:cs="Simplified Arabic" w:hint="cs"/>
          <w:sz w:val="36"/>
          <w:szCs w:val="36"/>
          <w:rtl/>
          <w:lang w:bidi="ar-DZ"/>
        </w:rPr>
        <w:tab/>
        <w:t>لذا تمّ النّظر</w:t>
      </w:r>
      <w:r w:rsidR="002E2C98">
        <w:rPr>
          <w:rFonts w:cs="Simplified Arabic" w:hint="cs"/>
          <w:sz w:val="36"/>
          <w:szCs w:val="36"/>
          <w:rtl/>
          <w:lang w:bidi="ar-DZ"/>
        </w:rPr>
        <w:t xml:space="preserve"> إلى النّص على أساس انّه جزء من الحياة ومن المجتمع، وهذا ما انعكس على التّجربة الأدبية، بالاهتمام بهذا القطاع وعدم الاكتراث بالجانب الشّكلي، فكانت رسالة الأدب </w:t>
      </w:r>
      <w:r w:rsidR="002E2C98">
        <w:rPr>
          <w:rFonts w:cs="Simplified Arabic"/>
          <w:sz w:val="36"/>
          <w:szCs w:val="36"/>
          <w:rtl/>
          <w:lang w:bidi="ar-DZ"/>
        </w:rPr>
        <w:t>–</w:t>
      </w:r>
      <w:r w:rsidR="002E2C98">
        <w:rPr>
          <w:rFonts w:cs="Simplified Arabic" w:hint="cs"/>
          <w:sz w:val="36"/>
          <w:szCs w:val="36"/>
          <w:rtl/>
          <w:lang w:bidi="ar-DZ"/>
        </w:rPr>
        <w:t xml:space="preserve"> مثلا </w:t>
      </w:r>
      <w:r w:rsidR="002E2C98">
        <w:rPr>
          <w:rFonts w:cs="Simplified Arabic"/>
          <w:sz w:val="36"/>
          <w:szCs w:val="36"/>
          <w:rtl/>
          <w:lang w:bidi="ar-DZ"/>
        </w:rPr>
        <w:t>–</w:t>
      </w:r>
      <w:r w:rsidR="002E2C98">
        <w:rPr>
          <w:rFonts w:cs="Simplified Arabic" w:hint="cs"/>
          <w:sz w:val="36"/>
          <w:szCs w:val="36"/>
          <w:rtl/>
          <w:lang w:bidi="ar-DZ"/>
        </w:rPr>
        <w:t xml:space="preserve"> عند سلامة موسى "تربوية" تغيّر المجتمع وتعنى بمعالجة شؤونه، وأنّ الأدب للحياة والإنسانية والمجتمع، وليس نكتة بديعة أو بيتاً رائعاً، إنّما هو ارتقاء وتطوّر لتعميم الخير والشّرف والإخاء والحبّ...»</w:t>
      </w:r>
      <w:r w:rsidR="00506CC5">
        <w:rPr>
          <w:rFonts w:cs="Simplified Arabic" w:hint="cs"/>
          <w:sz w:val="36"/>
          <w:szCs w:val="36"/>
          <w:rtl/>
          <w:lang w:bidi="ar-DZ"/>
        </w:rPr>
        <w:t>.</w:t>
      </w:r>
    </w:p>
    <w:p w:rsidR="008704B9" w:rsidRDefault="00506CC5" w:rsidP="00506CC5">
      <w:pPr>
        <w:bidi/>
        <w:spacing w:after="0" w:line="240" w:lineRule="auto"/>
        <w:jc w:val="both"/>
        <w:rPr>
          <w:rFonts w:cs="Simplified Arabic" w:hint="cs"/>
          <w:sz w:val="36"/>
          <w:szCs w:val="36"/>
          <w:rtl/>
          <w:lang w:bidi="ar-DZ"/>
        </w:rPr>
      </w:pPr>
      <w:r>
        <w:rPr>
          <w:rFonts w:cs="Simplified Arabic" w:hint="cs"/>
          <w:sz w:val="36"/>
          <w:szCs w:val="36"/>
          <w:rtl/>
          <w:lang w:bidi="ar-DZ"/>
        </w:rPr>
        <w:lastRenderedPageBreak/>
        <w:tab/>
        <w:t>وإلى جانب "سلامة موسى" نجد "محمّد مندور</w:t>
      </w:r>
      <w:r w:rsidR="00EC7859">
        <w:rPr>
          <w:rFonts w:cs="Simplified Arabic" w:hint="cs"/>
          <w:sz w:val="36"/>
          <w:szCs w:val="36"/>
          <w:rtl/>
          <w:lang w:bidi="ar-DZ"/>
        </w:rPr>
        <w:t xml:space="preserve">" حامل شعار "الأدب نقد للحياة"، وكلّ الأعمال </w:t>
      </w:r>
      <w:r w:rsidR="008704B9">
        <w:rPr>
          <w:rFonts w:cs="Simplified Arabic" w:hint="cs"/>
          <w:sz w:val="36"/>
          <w:szCs w:val="36"/>
          <w:rtl/>
          <w:lang w:bidi="ar-DZ"/>
        </w:rPr>
        <w:t>الّتي تنطوي تحت هذا اللّواء تثير إعجابه (مثل رواية زينب لـ "محمّد حسين هيكل").</w:t>
      </w:r>
    </w:p>
    <w:p w:rsidR="002723C4" w:rsidRPr="004F5EEC" w:rsidRDefault="008704B9" w:rsidP="008704B9">
      <w:pPr>
        <w:bidi/>
        <w:spacing w:after="0" w:line="240" w:lineRule="auto"/>
        <w:jc w:val="both"/>
        <w:rPr>
          <w:rFonts w:cs="Simplified Arabic"/>
          <w:sz w:val="36"/>
          <w:szCs w:val="36"/>
          <w:rtl/>
          <w:lang w:bidi="ar-DZ"/>
        </w:rPr>
      </w:pPr>
      <w:r>
        <w:rPr>
          <w:rFonts w:cs="Simplified Arabic" w:hint="cs"/>
          <w:sz w:val="36"/>
          <w:szCs w:val="36"/>
          <w:rtl/>
          <w:lang w:bidi="ar-DZ"/>
        </w:rPr>
        <w:tab/>
        <w:t xml:space="preserve">وهكذا كانت العلاقة وثيقة جدّاً بين الأدب والمجتمع في تفسير الظّواهر وشرح النّصوص قصد تقييمها باعتبار الأدب صورة للمجتمع الّذي ينبغي للأديب فهمه والتّقرب منه أكثر للرّقي بالأعمال الأدبية حثيثاً إلى الأمام. </w:t>
      </w:r>
      <w:r w:rsidR="00C6617E">
        <w:rPr>
          <w:rFonts w:cs="Simplified Arabic" w:hint="cs"/>
          <w:sz w:val="36"/>
          <w:szCs w:val="36"/>
          <w:rtl/>
          <w:lang w:bidi="ar-DZ"/>
        </w:rPr>
        <w:t xml:space="preserve"> </w:t>
      </w:r>
      <w:r w:rsidR="00B21CEA">
        <w:rPr>
          <w:rFonts w:cs="Simplified Arabic" w:hint="cs"/>
          <w:sz w:val="36"/>
          <w:szCs w:val="36"/>
          <w:rtl/>
          <w:lang w:bidi="ar-DZ"/>
        </w:rPr>
        <w:t xml:space="preserve"> </w:t>
      </w:r>
      <w:r w:rsidR="00337952">
        <w:rPr>
          <w:rFonts w:cs="Simplified Arabic" w:hint="cs"/>
          <w:sz w:val="36"/>
          <w:szCs w:val="36"/>
          <w:rtl/>
          <w:lang w:bidi="ar-DZ"/>
        </w:rPr>
        <w:t xml:space="preserve"> </w:t>
      </w:r>
    </w:p>
    <w:p w:rsidR="002723C4" w:rsidRPr="002723C4" w:rsidRDefault="002723C4" w:rsidP="002723C4">
      <w:pPr>
        <w:bidi/>
        <w:spacing w:after="0" w:line="240" w:lineRule="auto"/>
        <w:jc w:val="both"/>
        <w:rPr>
          <w:rFonts w:cs="Simplified Arabic"/>
          <w:sz w:val="36"/>
          <w:szCs w:val="36"/>
          <w:lang w:bidi="ar-DZ"/>
        </w:rPr>
      </w:pPr>
    </w:p>
    <w:sectPr w:rsidR="002723C4" w:rsidRPr="002723C4" w:rsidSect="0033397D">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871" w:rsidRDefault="00B03871" w:rsidP="001812FA">
      <w:pPr>
        <w:spacing w:after="0" w:line="240" w:lineRule="auto"/>
      </w:pPr>
      <w:r>
        <w:separator/>
      </w:r>
    </w:p>
  </w:endnote>
  <w:endnote w:type="continuationSeparator" w:id="1">
    <w:p w:rsidR="00B03871" w:rsidRDefault="00B03871" w:rsidP="00181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1087"/>
      <w:docPartObj>
        <w:docPartGallery w:val="Page Numbers (Bottom of Page)"/>
        <w:docPartUnique/>
      </w:docPartObj>
    </w:sdtPr>
    <w:sdtContent>
      <w:p w:rsidR="00DF16A3" w:rsidRDefault="00E257F3">
        <w:pPr>
          <w:pStyle w:val="Pieddepage"/>
          <w:jc w:val="center"/>
        </w:pPr>
        <w:fldSimple w:instr=" PAGE   \* MERGEFORMAT ">
          <w:r w:rsidR="00490755">
            <w:rPr>
              <w:noProof/>
            </w:rPr>
            <w:t>1</w:t>
          </w:r>
        </w:fldSimple>
      </w:p>
    </w:sdtContent>
  </w:sdt>
  <w:p w:rsidR="00DF16A3" w:rsidRDefault="00DF16A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871" w:rsidRDefault="00B03871" w:rsidP="001812FA">
      <w:pPr>
        <w:bidi/>
        <w:spacing w:after="0" w:line="240" w:lineRule="auto"/>
      </w:pPr>
      <w:r>
        <w:separator/>
      </w:r>
    </w:p>
  </w:footnote>
  <w:footnote w:type="continuationSeparator" w:id="1">
    <w:p w:rsidR="00B03871" w:rsidRDefault="00B03871" w:rsidP="001812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5FBE"/>
    <w:multiLevelType w:val="hybridMultilevel"/>
    <w:tmpl w:val="D5DAC53A"/>
    <w:lvl w:ilvl="0" w:tplc="3154CA28">
      <w:start w:val="1"/>
      <w:numFmt w:val="arabicAbjad"/>
      <w:lvlText w:val="%1)"/>
      <w:lvlJc w:val="left"/>
      <w:pPr>
        <w:ind w:left="720" w:hanging="360"/>
      </w:pPr>
      <w:rPr>
        <w:rFonts w:asciiTheme="minorHAnsi" w:eastAsiaTheme="minorHAnsi" w:hAnsiTheme="minorHAnsi"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7521D8"/>
    <w:multiLevelType w:val="hybridMultilevel"/>
    <w:tmpl w:val="2CBC6FC4"/>
    <w:lvl w:ilvl="0" w:tplc="7B9CA1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E5F7689"/>
    <w:multiLevelType w:val="hybridMultilevel"/>
    <w:tmpl w:val="593E06C0"/>
    <w:lvl w:ilvl="0" w:tplc="373441B6">
      <w:start w:val="1"/>
      <w:numFmt w:val="decimal"/>
      <w:lvlText w:val="%1)"/>
      <w:lvlJc w:val="left"/>
      <w:pPr>
        <w:ind w:left="645" w:hanging="36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3">
    <w:nsid w:val="41133737"/>
    <w:multiLevelType w:val="hybridMultilevel"/>
    <w:tmpl w:val="D626F134"/>
    <w:lvl w:ilvl="0" w:tplc="E2A6AB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6404210"/>
    <w:multiLevelType w:val="hybridMultilevel"/>
    <w:tmpl w:val="724686BE"/>
    <w:lvl w:ilvl="0" w:tplc="A8EE60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45765B3"/>
    <w:multiLevelType w:val="hybridMultilevel"/>
    <w:tmpl w:val="4D726F8A"/>
    <w:lvl w:ilvl="0" w:tplc="50CC09B2">
      <w:start w:val="1"/>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E0972B7"/>
    <w:multiLevelType w:val="hybridMultilevel"/>
    <w:tmpl w:val="10F85E16"/>
    <w:lvl w:ilvl="0" w:tplc="2BA246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hyphenationZone w:val="425"/>
  <w:characterSpacingControl w:val="doNotCompress"/>
  <w:footnotePr>
    <w:footnote w:id="0"/>
    <w:footnote w:id="1"/>
  </w:footnotePr>
  <w:endnotePr>
    <w:endnote w:id="0"/>
    <w:endnote w:id="1"/>
  </w:endnotePr>
  <w:compat/>
  <w:rsids>
    <w:rsidRoot w:val="00E44975"/>
    <w:rsid w:val="000165DE"/>
    <w:rsid w:val="000170E8"/>
    <w:rsid w:val="00017F81"/>
    <w:rsid w:val="00031CBF"/>
    <w:rsid w:val="000425F9"/>
    <w:rsid w:val="0009681C"/>
    <w:rsid w:val="000A476D"/>
    <w:rsid w:val="000A58CF"/>
    <w:rsid w:val="000B0C1B"/>
    <w:rsid w:val="000F3F9E"/>
    <w:rsid w:val="00103D20"/>
    <w:rsid w:val="001132BC"/>
    <w:rsid w:val="00121E77"/>
    <w:rsid w:val="001302B9"/>
    <w:rsid w:val="001327A7"/>
    <w:rsid w:val="00135606"/>
    <w:rsid w:val="00153D67"/>
    <w:rsid w:val="001628A1"/>
    <w:rsid w:val="00166EE4"/>
    <w:rsid w:val="001678C9"/>
    <w:rsid w:val="001812FA"/>
    <w:rsid w:val="001A108A"/>
    <w:rsid w:val="001A6438"/>
    <w:rsid w:val="001E5FE0"/>
    <w:rsid w:val="001F3CF4"/>
    <w:rsid w:val="00200F12"/>
    <w:rsid w:val="00225199"/>
    <w:rsid w:val="00233553"/>
    <w:rsid w:val="00244023"/>
    <w:rsid w:val="00246DB7"/>
    <w:rsid w:val="002510BA"/>
    <w:rsid w:val="00256567"/>
    <w:rsid w:val="002701E1"/>
    <w:rsid w:val="002723C4"/>
    <w:rsid w:val="00274EDF"/>
    <w:rsid w:val="00282BAA"/>
    <w:rsid w:val="0029192A"/>
    <w:rsid w:val="0029517A"/>
    <w:rsid w:val="00296569"/>
    <w:rsid w:val="002E1979"/>
    <w:rsid w:val="002E2C98"/>
    <w:rsid w:val="0030238E"/>
    <w:rsid w:val="0033397D"/>
    <w:rsid w:val="00337952"/>
    <w:rsid w:val="00342227"/>
    <w:rsid w:val="00377BCC"/>
    <w:rsid w:val="003800B0"/>
    <w:rsid w:val="00394BE9"/>
    <w:rsid w:val="00395B42"/>
    <w:rsid w:val="003A3644"/>
    <w:rsid w:val="003A7ACC"/>
    <w:rsid w:val="00414411"/>
    <w:rsid w:val="00417820"/>
    <w:rsid w:val="0043780C"/>
    <w:rsid w:val="004457EC"/>
    <w:rsid w:val="004503BB"/>
    <w:rsid w:val="00467B35"/>
    <w:rsid w:val="00483BF9"/>
    <w:rsid w:val="00490755"/>
    <w:rsid w:val="004D13A2"/>
    <w:rsid w:val="004F541C"/>
    <w:rsid w:val="004F5EEC"/>
    <w:rsid w:val="00506CC5"/>
    <w:rsid w:val="005179A0"/>
    <w:rsid w:val="005337A2"/>
    <w:rsid w:val="005430AE"/>
    <w:rsid w:val="00556856"/>
    <w:rsid w:val="005709AA"/>
    <w:rsid w:val="00582D0A"/>
    <w:rsid w:val="005B2420"/>
    <w:rsid w:val="005B5BF8"/>
    <w:rsid w:val="005C3AA3"/>
    <w:rsid w:val="005D60F3"/>
    <w:rsid w:val="006024D4"/>
    <w:rsid w:val="00613946"/>
    <w:rsid w:val="0062155A"/>
    <w:rsid w:val="00637FAA"/>
    <w:rsid w:val="00660E4B"/>
    <w:rsid w:val="006A6A20"/>
    <w:rsid w:val="006F15F7"/>
    <w:rsid w:val="006F1E6D"/>
    <w:rsid w:val="006F4B2E"/>
    <w:rsid w:val="006F6282"/>
    <w:rsid w:val="007004F8"/>
    <w:rsid w:val="00703CDA"/>
    <w:rsid w:val="007048AB"/>
    <w:rsid w:val="0071032F"/>
    <w:rsid w:val="00722082"/>
    <w:rsid w:val="00737DD0"/>
    <w:rsid w:val="0074188D"/>
    <w:rsid w:val="00773F43"/>
    <w:rsid w:val="007C7A22"/>
    <w:rsid w:val="007D42DB"/>
    <w:rsid w:val="007D5C7A"/>
    <w:rsid w:val="007E2927"/>
    <w:rsid w:val="007F2D4A"/>
    <w:rsid w:val="0080750D"/>
    <w:rsid w:val="00827B1A"/>
    <w:rsid w:val="00830CEB"/>
    <w:rsid w:val="008347C1"/>
    <w:rsid w:val="00855665"/>
    <w:rsid w:val="008704B9"/>
    <w:rsid w:val="008A1C31"/>
    <w:rsid w:val="008B4143"/>
    <w:rsid w:val="008C4460"/>
    <w:rsid w:val="008C5A1A"/>
    <w:rsid w:val="008E0A9D"/>
    <w:rsid w:val="008F45AB"/>
    <w:rsid w:val="008F5D93"/>
    <w:rsid w:val="00924F88"/>
    <w:rsid w:val="0092646E"/>
    <w:rsid w:val="00947FA1"/>
    <w:rsid w:val="009523D1"/>
    <w:rsid w:val="00965BC4"/>
    <w:rsid w:val="009722EC"/>
    <w:rsid w:val="0099139E"/>
    <w:rsid w:val="00991AAA"/>
    <w:rsid w:val="009A4BEC"/>
    <w:rsid w:val="009C3245"/>
    <w:rsid w:val="009C45D7"/>
    <w:rsid w:val="009D0E9B"/>
    <w:rsid w:val="009D5A0C"/>
    <w:rsid w:val="009E3E0C"/>
    <w:rsid w:val="009F60B8"/>
    <w:rsid w:val="009F7611"/>
    <w:rsid w:val="00A32A1E"/>
    <w:rsid w:val="00A409D6"/>
    <w:rsid w:val="00A40F96"/>
    <w:rsid w:val="00A43AED"/>
    <w:rsid w:val="00A44DA0"/>
    <w:rsid w:val="00A82EDC"/>
    <w:rsid w:val="00A92A3E"/>
    <w:rsid w:val="00AB2627"/>
    <w:rsid w:val="00AB5122"/>
    <w:rsid w:val="00AD3B6F"/>
    <w:rsid w:val="00AF0CAC"/>
    <w:rsid w:val="00B03871"/>
    <w:rsid w:val="00B042A2"/>
    <w:rsid w:val="00B14609"/>
    <w:rsid w:val="00B15838"/>
    <w:rsid w:val="00B21CEA"/>
    <w:rsid w:val="00B230E6"/>
    <w:rsid w:val="00B26B93"/>
    <w:rsid w:val="00B3119F"/>
    <w:rsid w:val="00B53D4A"/>
    <w:rsid w:val="00B54646"/>
    <w:rsid w:val="00B91726"/>
    <w:rsid w:val="00BA02A1"/>
    <w:rsid w:val="00BA6C19"/>
    <w:rsid w:val="00BB48A6"/>
    <w:rsid w:val="00BD19B5"/>
    <w:rsid w:val="00BD61D7"/>
    <w:rsid w:val="00BF3F71"/>
    <w:rsid w:val="00C12E56"/>
    <w:rsid w:val="00C20A5E"/>
    <w:rsid w:val="00C440B1"/>
    <w:rsid w:val="00C506D8"/>
    <w:rsid w:val="00C56C86"/>
    <w:rsid w:val="00C603A4"/>
    <w:rsid w:val="00C654F1"/>
    <w:rsid w:val="00C6617E"/>
    <w:rsid w:val="00C762AC"/>
    <w:rsid w:val="00C97987"/>
    <w:rsid w:val="00CA1841"/>
    <w:rsid w:val="00CB4FA2"/>
    <w:rsid w:val="00CB688D"/>
    <w:rsid w:val="00CD0FCA"/>
    <w:rsid w:val="00CE3927"/>
    <w:rsid w:val="00CE5E49"/>
    <w:rsid w:val="00D034A2"/>
    <w:rsid w:val="00D16203"/>
    <w:rsid w:val="00D21EEA"/>
    <w:rsid w:val="00D24D43"/>
    <w:rsid w:val="00D855C2"/>
    <w:rsid w:val="00D91635"/>
    <w:rsid w:val="00DA22C9"/>
    <w:rsid w:val="00DC1E3D"/>
    <w:rsid w:val="00DD3F9C"/>
    <w:rsid w:val="00DE2679"/>
    <w:rsid w:val="00DF16A3"/>
    <w:rsid w:val="00E109CC"/>
    <w:rsid w:val="00E146FB"/>
    <w:rsid w:val="00E1747E"/>
    <w:rsid w:val="00E257F3"/>
    <w:rsid w:val="00E44975"/>
    <w:rsid w:val="00E53ED2"/>
    <w:rsid w:val="00E707F8"/>
    <w:rsid w:val="00E76FFC"/>
    <w:rsid w:val="00EA703D"/>
    <w:rsid w:val="00EA7DCB"/>
    <w:rsid w:val="00EC4BA7"/>
    <w:rsid w:val="00EC7859"/>
    <w:rsid w:val="00ED4393"/>
    <w:rsid w:val="00ED755A"/>
    <w:rsid w:val="00EE6944"/>
    <w:rsid w:val="00F036CC"/>
    <w:rsid w:val="00F118B1"/>
    <w:rsid w:val="00F4462A"/>
    <w:rsid w:val="00F4756C"/>
    <w:rsid w:val="00F6492B"/>
    <w:rsid w:val="00F76BB1"/>
    <w:rsid w:val="00F77A48"/>
    <w:rsid w:val="00F96BFF"/>
    <w:rsid w:val="00FA3B3E"/>
    <w:rsid w:val="00FB65B9"/>
    <w:rsid w:val="00FB69C2"/>
    <w:rsid w:val="00FC40AF"/>
    <w:rsid w:val="00FE74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6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15F7"/>
    <w:pPr>
      <w:ind w:left="720"/>
      <w:contextualSpacing/>
    </w:pPr>
  </w:style>
  <w:style w:type="table" w:styleId="Grilledutableau">
    <w:name w:val="Table Grid"/>
    <w:basedOn w:val="TableauNormal"/>
    <w:uiPriority w:val="59"/>
    <w:rsid w:val="00660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1812F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12FA"/>
    <w:rPr>
      <w:sz w:val="20"/>
      <w:szCs w:val="20"/>
    </w:rPr>
  </w:style>
  <w:style w:type="character" w:styleId="Appelnotedebasdep">
    <w:name w:val="footnote reference"/>
    <w:basedOn w:val="Policepardfaut"/>
    <w:uiPriority w:val="99"/>
    <w:semiHidden/>
    <w:unhideWhenUsed/>
    <w:rsid w:val="001812FA"/>
    <w:rPr>
      <w:vertAlign w:val="superscript"/>
    </w:rPr>
  </w:style>
  <w:style w:type="paragraph" w:styleId="En-tte">
    <w:name w:val="header"/>
    <w:basedOn w:val="Normal"/>
    <w:link w:val="En-tteCar"/>
    <w:uiPriority w:val="99"/>
    <w:semiHidden/>
    <w:unhideWhenUsed/>
    <w:rsid w:val="001812F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812FA"/>
  </w:style>
  <w:style w:type="paragraph" w:styleId="Pieddepage">
    <w:name w:val="footer"/>
    <w:basedOn w:val="Normal"/>
    <w:link w:val="PieddepageCar"/>
    <w:uiPriority w:val="99"/>
    <w:unhideWhenUsed/>
    <w:rsid w:val="001812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12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665D9-9D56-42A1-9528-B47FAD9D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307</Words>
  <Characters>1694</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dc:creator>
  <cp:lastModifiedBy>SAFA</cp:lastModifiedBy>
  <cp:revision>18</cp:revision>
  <dcterms:created xsi:type="dcterms:W3CDTF">2021-02-07T14:00:00Z</dcterms:created>
  <dcterms:modified xsi:type="dcterms:W3CDTF">2021-02-08T08:12:00Z</dcterms:modified>
</cp:coreProperties>
</file>