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A59" w:rsidRPr="002C07A1" w:rsidRDefault="005A2A59" w:rsidP="005A2A59">
      <w:pPr>
        <w:pStyle w:val="Paragraphedeliste"/>
        <w:tabs>
          <w:tab w:val="right" w:pos="567"/>
          <w:tab w:val="right" w:pos="850"/>
        </w:tabs>
        <w:bidi/>
        <w:ind w:left="0"/>
        <w:jc w:val="center"/>
        <w:rPr>
          <w:rFonts w:ascii="Simplified Arabic" w:hAnsi="Simplified Arabic" w:cs="Simplified Arabic"/>
          <w:b/>
          <w:bCs/>
          <w:sz w:val="32"/>
          <w:szCs w:val="32"/>
          <w:rtl/>
          <w:lang w:bidi="ar-DZ"/>
        </w:rPr>
      </w:pPr>
      <w:r w:rsidRPr="002C07A1">
        <w:rPr>
          <w:rFonts w:ascii="Simplified Arabic" w:hAnsi="Simplified Arabic" w:cs="Simplified Arabic" w:hint="cs"/>
          <w:b/>
          <w:bCs/>
          <w:sz w:val="32"/>
          <w:szCs w:val="32"/>
          <w:rtl/>
          <w:lang w:bidi="ar-DZ"/>
        </w:rPr>
        <w:t>المحور الخامس:</w:t>
      </w:r>
    </w:p>
    <w:p w:rsidR="005A2A59" w:rsidRDefault="005A2A59" w:rsidP="005A2A59">
      <w:pPr>
        <w:pStyle w:val="Paragraphedeliste"/>
        <w:tabs>
          <w:tab w:val="right" w:pos="567"/>
          <w:tab w:val="right" w:pos="850"/>
        </w:tabs>
        <w:bidi/>
        <w:ind w:left="0"/>
        <w:jc w:val="center"/>
        <w:rPr>
          <w:rFonts w:ascii="Simplified Arabic" w:hAnsi="Simplified Arabic" w:cs="Simplified Arabic"/>
          <w:b/>
          <w:bCs/>
          <w:sz w:val="32"/>
          <w:szCs w:val="32"/>
          <w:rtl/>
          <w:lang w:bidi="ar-DZ"/>
        </w:rPr>
      </w:pPr>
      <w:r w:rsidRPr="002C07A1">
        <w:rPr>
          <w:rFonts w:ascii="Simplified Arabic" w:hAnsi="Simplified Arabic" w:cs="Simplified Arabic" w:hint="cs"/>
          <w:b/>
          <w:bCs/>
          <w:sz w:val="32"/>
          <w:szCs w:val="32"/>
          <w:rtl/>
          <w:lang w:bidi="ar-DZ"/>
        </w:rPr>
        <w:t>الكيانات الفاعلة في المجتمع الدّولي</w:t>
      </w:r>
    </w:p>
    <w:p w:rsidR="005A2A59" w:rsidRDefault="005A2A59" w:rsidP="005A2A59">
      <w:pPr>
        <w:pStyle w:val="Paragraphedeliste"/>
        <w:tabs>
          <w:tab w:val="right" w:pos="567"/>
        </w:tabs>
        <w:bidi/>
        <w:spacing w:after="0"/>
        <w:ind w:left="-142" w:firstLine="992"/>
        <w:jc w:val="both"/>
        <w:rPr>
          <w:rFonts w:ascii="Simplified Arabic" w:hAnsi="Simplified Arabic" w:cs="Simplified Arabic" w:hint="cs"/>
          <w:sz w:val="28"/>
          <w:szCs w:val="28"/>
          <w:rtl/>
          <w:lang w:bidi="ar-DZ"/>
        </w:rPr>
      </w:pPr>
      <w:r w:rsidRPr="00560247">
        <w:rPr>
          <w:rFonts w:ascii="Simplified Arabic" w:hAnsi="Simplified Arabic" w:cs="Simplified Arabic" w:hint="cs"/>
          <w:sz w:val="28"/>
          <w:szCs w:val="28"/>
          <w:rtl/>
          <w:lang w:bidi="ar-DZ"/>
        </w:rPr>
        <w:t>كانت الدّول هي الشّخص التّقليدي الأصيل في المجتمع الدّولي، واستُحدثت إلى جانبها منظّمات دولية حكومية، تعمل في إطار الاتّفاقات التّأسيسية التي تبرمها الدّول، ممّا أصبغ عليها الطّابع الرّسمي في العلاقات التي تتمّ بين الحكو</w:t>
      </w:r>
      <w:r>
        <w:rPr>
          <w:rFonts w:ascii="Simplified Arabic" w:hAnsi="Simplified Arabic" w:cs="Simplified Arabic" w:hint="cs"/>
          <w:sz w:val="28"/>
          <w:szCs w:val="28"/>
          <w:rtl/>
          <w:lang w:bidi="ar-DZ"/>
        </w:rPr>
        <w:t>مات، و</w:t>
      </w:r>
      <w:r w:rsidRPr="00560247">
        <w:rPr>
          <w:rFonts w:ascii="Simplified Arabic" w:hAnsi="Simplified Arabic" w:cs="Simplified Arabic" w:hint="cs"/>
          <w:sz w:val="28"/>
          <w:szCs w:val="28"/>
          <w:rtl/>
          <w:lang w:bidi="ar-DZ"/>
        </w:rPr>
        <w:t>أفضى إلى تمتّعها بالشّخصية القانونية الدّولية طبقا لماأفتت به محكمة العدل الدّولية في رأيها الاستشاري حول قضية التّعويضات عن الأضرار التيتلحق بموظّفي الأمم المتّحدة سنة</w:t>
      </w:r>
      <w:r w:rsidRPr="00560247">
        <w:rPr>
          <w:rFonts w:ascii="Simplified Arabic" w:hAnsi="Simplified Arabic" w:cs="Simplified Arabic" w:hint="cs"/>
          <w:sz w:val="24"/>
          <w:szCs w:val="24"/>
          <w:rtl/>
          <w:lang w:bidi="ar-DZ"/>
        </w:rPr>
        <w:t>1949</w:t>
      </w:r>
      <w:r>
        <w:rPr>
          <w:rFonts w:ascii="Simplified Arabic" w:hAnsi="Simplified Arabic" w:cs="Simplified Arabic" w:hint="cs"/>
          <w:sz w:val="32"/>
          <w:szCs w:val="32"/>
          <w:rtl/>
          <w:lang w:bidi="ar-DZ"/>
        </w:rPr>
        <w:t xml:space="preserve">. </w:t>
      </w:r>
      <w:r>
        <w:rPr>
          <w:rFonts w:ascii="Simplified Arabic" w:hAnsi="Simplified Arabic" w:cs="Simplified Arabic" w:hint="cs"/>
          <w:sz w:val="28"/>
          <w:szCs w:val="28"/>
          <w:rtl/>
          <w:lang w:bidi="ar-DZ"/>
        </w:rPr>
        <w:t>غير أنّالمجتمع الدّولي مافتئ تلحقه تطوّرات وتغييرات في تركيبته، حيث ظهرت كيانات أخرى تنشط على المستوى الدّولي، وتساهم بدور لا يمكن تجاهله في التّأثير على مختلف الاهتمامات الكبرى للدّول. وقد اختلف فقهاءالقانون الدّولي حول ما إذا كانت هذه الكيانات تتمتّع بالشّخصية القانونية الدّولية بين مؤيّد لذلك ومعارض له. ومنه سيتمّ تخصيص هذا المحور للتّعريف بهذه الكيانات ومناقشة مسألة الاعتراف لها بالشّخصية القانونية الدّولية أو نكرانها، كلّ منها على حِدة، وهي: المنظّمات الدّولية غير الحكومية، حركات التّحرّر الوطني، الشّركات متعدّدة الجنسيات ثمّ توضيح المركز القانوني للفرد في النّظام الدّولي.</w:t>
      </w:r>
    </w:p>
    <w:p w:rsidR="005A2A59" w:rsidRPr="005A2A59" w:rsidRDefault="005A2A59" w:rsidP="005A2A59">
      <w:pPr>
        <w:pStyle w:val="Paragraphedeliste"/>
        <w:tabs>
          <w:tab w:val="right" w:pos="567"/>
        </w:tabs>
        <w:bidi/>
        <w:spacing w:after="0"/>
        <w:ind w:left="-142" w:firstLine="992"/>
        <w:jc w:val="both"/>
        <w:rPr>
          <w:rFonts w:ascii="Simplified Arabic" w:hAnsi="Simplified Arabic" w:cs="Simplified Arabic"/>
          <w:sz w:val="28"/>
          <w:szCs w:val="28"/>
          <w:rtl/>
          <w:lang w:bidi="ar-DZ"/>
        </w:rPr>
      </w:pPr>
    </w:p>
    <w:p w:rsidR="005A2A59" w:rsidRDefault="005A2A59" w:rsidP="005A2A59">
      <w:pPr>
        <w:tabs>
          <w:tab w:val="right" w:pos="567"/>
          <w:tab w:val="right" w:pos="850"/>
        </w:tabs>
        <w:bidi/>
        <w:spacing w:after="0"/>
        <w:jc w:val="both"/>
        <w:rPr>
          <w:rFonts w:ascii="Simplified Arabic" w:hAnsi="Simplified Arabic" w:cs="Simplified Arabic"/>
          <w:b/>
          <w:bCs/>
          <w:sz w:val="28"/>
          <w:szCs w:val="28"/>
          <w:rtl/>
          <w:lang w:bidi="ar-DZ"/>
        </w:rPr>
      </w:pPr>
      <w:r w:rsidRPr="00FB1EC8">
        <w:rPr>
          <w:rFonts w:ascii="Simplified Arabic" w:hAnsi="Simplified Arabic" w:cs="Simplified Arabic" w:hint="cs"/>
          <w:b/>
          <w:bCs/>
          <w:sz w:val="28"/>
          <w:szCs w:val="28"/>
          <w:rtl/>
          <w:lang w:bidi="ar-DZ"/>
        </w:rPr>
        <w:t>أوّلا: المنظّمات الدّولية غير الحكومية</w:t>
      </w:r>
    </w:p>
    <w:p w:rsidR="005A2A59" w:rsidRPr="0020660F" w:rsidRDefault="005A2A59" w:rsidP="005A2A59">
      <w:pPr>
        <w:pStyle w:val="Paragraphedeliste"/>
        <w:numPr>
          <w:ilvl w:val="0"/>
          <w:numId w:val="2"/>
        </w:numPr>
        <w:tabs>
          <w:tab w:val="right" w:pos="567"/>
          <w:tab w:val="right" w:pos="850"/>
        </w:tabs>
        <w:bidi/>
        <w:spacing w:after="0"/>
        <w:ind w:left="425" w:hanging="425"/>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تعريف المنظّمات غير الحكومية وبيان خصائصها:</w:t>
      </w:r>
    </w:p>
    <w:p w:rsidR="005A2A59" w:rsidRDefault="005A2A59" w:rsidP="005A2A59">
      <w:pPr>
        <w:tabs>
          <w:tab w:val="right" w:pos="567"/>
          <w:tab w:val="right" w:pos="850"/>
        </w:tabs>
        <w:bidi/>
        <w:spacing w:after="0"/>
        <w:ind w:firstLine="850"/>
        <w:jc w:val="both"/>
        <w:rPr>
          <w:rFonts w:ascii="Simplified Arabic" w:hAnsi="Simplified Arabic" w:cs="Simplified Arabic"/>
          <w:sz w:val="28"/>
          <w:szCs w:val="28"/>
          <w:rtl/>
          <w:lang w:bidi="ar-DZ"/>
        </w:rPr>
      </w:pPr>
      <w:r w:rsidRPr="00720595">
        <w:rPr>
          <w:rFonts w:ascii="Simplified Arabic" w:hAnsi="Simplified Arabic" w:cs="Simplified Arabic" w:hint="cs"/>
          <w:sz w:val="28"/>
          <w:szCs w:val="28"/>
          <w:rtl/>
          <w:lang w:bidi="ar-DZ"/>
        </w:rPr>
        <w:t xml:space="preserve">يعرّف </w:t>
      </w:r>
      <w:r>
        <w:rPr>
          <w:rFonts w:ascii="Simplified Arabic" w:hAnsi="Simplified Arabic" w:cs="Simplified Arabic" w:hint="cs"/>
          <w:sz w:val="28"/>
          <w:szCs w:val="28"/>
          <w:rtl/>
          <w:lang w:bidi="ar-DZ"/>
        </w:rPr>
        <w:t>الأستاذ ميرل</w:t>
      </w:r>
      <w:r w:rsidRPr="00720595">
        <w:rPr>
          <w:rFonts w:asciiTheme="majorBidi" w:hAnsiTheme="majorBidi" w:cstheme="majorBidi"/>
          <w:sz w:val="28"/>
          <w:szCs w:val="28"/>
          <w:lang w:bidi="ar-DZ"/>
        </w:rPr>
        <w:t xml:space="preserve">M. Merle </w:t>
      </w:r>
      <w:r w:rsidRPr="00720595">
        <w:rPr>
          <w:rFonts w:ascii="Simplified Arabic" w:hAnsi="Simplified Arabic" w:cs="Simplified Arabic"/>
          <w:sz w:val="28"/>
          <w:szCs w:val="28"/>
          <w:rtl/>
          <w:lang w:bidi="ar-DZ"/>
        </w:rPr>
        <w:t>المن</w:t>
      </w:r>
      <w:r>
        <w:rPr>
          <w:rFonts w:ascii="Simplified Arabic" w:hAnsi="Simplified Arabic" w:cs="Simplified Arabic" w:hint="cs"/>
          <w:sz w:val="28"/>
          <w:szCs w:val="28"/>
          <w:rtl/>
          <w:lang w:bidi="ar-DZ"/>
        </w:rPr>
        <w:t>ظّمات غير الحكومية بأنّها " أيّ تجمّع أو جمعية أو حركة تمّ إنشاؤها من طرف أفراد أو هيئات خاصّة تابعة لدول مختلفة لتحقيق أهداف ليس لها طابع الرّبح".</w:t>
      </w:r>
    </w:p>
    <w:p w:rsidR="005A2A59" w:rsidRDefault="005A2A59" w:rsidP="005A2A59">
      <w:pPr>
        <w:tabs>
          <w:tab w:val="right" w:pos="567"/>
          <w:tab w:val="right" w:pos="850"/>
        </w:tabs>
        <w:bidi/>
        <w:spacing w:after="0"/>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خلال هذا التّعريف تتميّز المنظّمات غير الحكومية عن المنظّمات الدّولية الحكومية في كونها لا تتمتّع بالتّمثيل الحكومي، إذ تنشأ بمبادرات خاصّة ومن طرف خواصّ. وتتميّز عن باقي الأشخاص المعنوية في القانون الدّاخلي بكونها لا تهدف إلى تحقيق أيّ ربح، وتمارس نشاطها في الميادين التي لها ارتباط بالعلاقات الدّولية خصوصا.</w:t>
      </w:r>
    </w:p>
    <w:p w:rsidR="005A2A59" w:rsidRDefault="005A2A59" w:rsidP="005A2A59">
      <w:pPr>
        <w:tabs>
          <w:tab w:val="right" w:pos="567"/>
          <w:tab w:val="right" w:pos="850"/>
        </w:tabs>
        <w:bidi/>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يبرز التّعريف أيضا الخصائص المميّزة التي تُظهر وجود منظّمة دولية غير حكومية، والتي تتلخّص فيما يلي:</w:t>
      </w:r>
    </w:p>
    <w:p w:rsidR="005A2A59" w:rsidRDefault="005A2A59" w:rsidP="005A2A59">
      <w:pPr>
        <w:pStyle w:val="Paragraphedeliste"/>
        <w:numPr>
          <w:ilvl w:val="0"/>
          <w:numId w:val="1"/>
        </w:numPr>
        <w:tabs>
          <w:tab w:val="right" w:pos="283"/>
          <w:tab w:val="right" w:pos="567"/>
          <w:tab w:val="righ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تنشأ من طرف أفراد أو هيئات خاصّة تعبّر عن شكل من أشكال التّضامن العابر للحدود بعيدا عن أيّ إملاء أو توجيه حكومي، و منه يكون أعضاؤها من جنسيات مختلفة (يشترط بعضهم أن يكونوا من دولتين على الأقلّ).</w:t>
      </w:r>
    </w:p>
    <w:p w:rsidR="005A2A59" w:rsidRDefault="005A2A59" w:rsidP="005A2A59">
      <w:pPr>
        <w:pStyle w:val="Paragraphedeliste"/>
        <w:numPr>
          <w:ilvl w:val="0"/>
          <w:numId w:val="1"/>
        </w:numPr>
        <w:tabs>
          <w:tab w:val="right" w:pos="283"/>
          <w:tab w:val="right" w:pos="567"/>
          <w:tab w:val="righ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يكون نشاطها مرتبطا بمسائل ذات اهتمام دولي، ولا يهمّ إن كان إنسانيا أو ثقافيا أو اجتماعيا.</w:t>
      </w:r>
    </w:p>
    <w:p w:rsidR="005A2A59" w:rsidRDefault="005A2A59" w:rsidP="005A2A59">
      <w:pPr>
        <w:pStyle w:val="Paragraphedeliste"/>
        <w:numPr>
          <w:ilvl w:val="0"/>
          <w:numId w:val="1"/>
        </w:numPr>
        <w:tabs>
          <w:tab w:val="right" w:pos="283"/>
          <w:tab w:val="right" w:pos="567"/>
          <w:tab w:val="righ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ليس لها أيّ هدف ربحي، بمعنى لا تتقاضى عن نشاطها أيّ مقابل مالي. </w:t>
      </w:r>
    </w:p>
    <w:p w:rsidR="005A2A59" w:rsidRDefault="005A2A59" w:rsidP="005A2A59">
      <w:pPr>
        <w:pStyle w:val="Paragraphedeliste"/>
        <w:numPr>
          <w:ilvl w:val="0"/>
          <w:numId w:val="1"/>
        </w:numPr>
        <w:tabs>
          <w:tab w:val="right" w:pos="283"/>
          <w:tab w:val="right" w:pos="425"/>
          <w:tab w:val="righ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تخضع لقانون الدّولة التي تأسّست فيها، وبالتّالي فهي تتمتّع بشخصية قانونية داخلية فيها، ولا تواجه بها باقي الدّول.</w:t>
      </w:r>
    </w:p>
    <w:p w:rsidR="005A2A59" w:rsidRDefault="005A2A59" w:rsidP="005A2A59">
      <w:pPr>
        <w:pStyle w:val="Paragraphedeliste"/>
        <w:numPr>
          <w:ilvl w:val="0"/>
          <w:numId w:val="2"/>
        </w:numPr>
        <w:tabs>
          <w:tab w:val="right" w:pos="425"/>
          <w:tab w:val="right" w:pos="850"/>
        </w:tabs>
        <w:bidi/>
        <w:ind w:left="425"/>
        <w:jc w:val="both"/>
        <w:rPr>
          <w:rFonts w:ascii="Simplified Arabic" w:hAnsi="Simplified Arabic" w:cs="Simplified Arabic"/>
          <w:b/>
          <w:bCs/>
          <w:sz w:val="28"/>
          <w:szCs w:val="28"/>
          <w:lang w:bidi="ar-DZ"/>
        </w:rPr>
      </w:pPr>
      <w:r w:rsidRPr="00D91B6A">
        <w:rPr>
          <w:rFonts w:ascii="Simplified Arabic" w:hAnsi="Simplified Arabic" w:cs="Simplified Arabic" w:hint="cs"/>
          <w:b/>
          <w:bCs/>
          <w:sz w:val="28"/>
          <w:szCs w:val="28"/>
          <w:rtl/>
          <w:lang w:bidi="ar-DZ"/>
        </w:rPr>
        <w:t>المركز القانوني للمنظّمات غير الحكومية في المجتمع الدّولي:</w:t>
      </w:r>
    </w:p>
    <w:p w:rsidR="005A2A59" w:rsidRDefault="005A2A59" w:rsidP="005A2A59">
      <w:pPr>
        <w:pStyle w:val="Paragraphedeliste"/>
        <w:tabs>
          <w:tab w:val="right" w:pos="850"/>
          <w:tab w:val="right" w:pos="1417"/>
        </w:tabs>
        <w:bidi/>
        <w:ind w:left="0" w:firstLine="850"/>
        <w:jc w:val="both"/>
        <w:rPr>
          <w:rFonts w:ascii="Simplified Arabic" w:hAnsi="Simplified Arabic" w:cs="Simplified Arabic"/>
          <w:sz w:val="28"/>
          <w:szCs w:val="28"/>
          <w:rtl/>
          <w:lang w:bidi="ar-DZ"/>
        </w:rPr>
      </w:pPr>
      <w:r w:rsidRPr="00183A48">
        <w:rPr>
          <w:rFonts w:ascii="Simplified Arabic" w:hAnsi="Simplified Arabic" w:cs="Simplified Arabic" w:hint="cs"/>
          <w:sz w:val="28"/>
          <w:szCs w:val="28"/>
          <w:rtl/>
          <w:lang w:bidi="ar-DZ"/>
        </w:rPr>
        <w:t>يعدّ</w:t>
      </w:r>
      <w:r>
        <w:rPr>
          <w:rFonts w:ascii="Simplified Arabic" w:hAnsi="Simplified Arabic" w:cs="Simplified Arabic" w:hint="cs"/>
          <w:sz w:val="28"/>
          <w:szCs w:val="28"/>
          <w:rtl/>
          <w:lang w:bidi="ar-DZ"/>
        </w:rPr>
        <w:t xml:space="preserve"> النّظام القانوني الدّولي للمنظّمات غير الحكومية غير موجود تقريبا، إذ أنّ هذه التّجمعات الخاصّة لا تتمتّع بالشّخصية القانونية الدّولية، فهي تمارس نشاطها في ظلّ القانون الدّاخلي للدّولة التي توجد بها مقرّاتها مع إمكانية أن ترتبط بعلاقات مع المنظّمات الدّولية الحكومية.</w:t>
      </w:r>
    </w:p>
    <w:p w:rsidR="005A2A59" w:rsidRDefault="005A2A59" w:rsidP="005A2A59">
      <w:pPr>
        <w:pStyle w:val="Paragraphedeliste"/>
        <w:numPr>
          <w:ilvl w:val="0"/>
          <w:numId w:val="3"/>
        </w:numPr>
        <w:tabs>
          <w:tab w:val="right" w:pos="283"/>
          <w:tab w:val="right" w:pos="425"/>
          <w:tab w:val="right" w:pos="850"/>
        </w:tabs>
        <w:bidi/>
        <w:ind w:left="0" w:firstLine="0"/>
        <w:jc w:val="both"/>
        <w:rPr>
          <w:rFonts w:ascii="Simplified Arabic" w:hAnsi="Simplified Arabic" w:cs="Simplified Arabic"/>
          <w:sz w:val="28"/>
          <w:szCs w:val="28"/>
          <w:lang w:bidi="ar-DZ"/>
        </w:rPr>
      </w:pPr>
      <w:r w:rsidRPr="00183A48">
        <w:rPr>
          <w:rFonts w:ascii="Simplified Arabic" w:hAnsi="Simplified Arabic" w:cs="Simplified Arabic" w:hint="cs"/>
          <w:b/>
          <w:bCs/>
          <w:sz w:val="28"/>
          <w:szCs w:val="28"/>
          <w:rtl/>
          <w:lang w:bidi="ar-DZ"/>
        </w:rPr>
        <w:t>علاقة المنظّمات غير الحكومية بالدّول</w:t>
      </w:r>
      <w:r>
        <w:rPr>
          <w:rFonts w:ascii="Simplified Arabic" w:hAnsi="Simplified Arabic" w:cs="Simplified Arabic" w:hint="cs"/>
          <w:sz w:val="28"/>
          <w:szCs w:val="28"/>
          <w:rtl/>
          <w:lang w:bidi="ar-DZ"/>
        </w:rPr>
        <w:t xml:space="preserve">: في غياب مكانة دولية حقيقية واعتراف رسمي، فإنّ النّظام القانوني الذي ينطبق على المنظّمات غير الحكومية هو وضع الشّخص الاعتباري الذي يحكمه القانون الخاصّ، فمثلا في فرنسا يطبّق على هذه المنظّمات قانون الجمعيات لسنة </w:t>
      </w:r>
      <w:r w:rsidRPr="00907B7B">
        <w:rPr>
          <w:rFonts w:ascii="Simplified Arabic" w:hAnsi="Simplified Arabic" w:cs="Simplified Arabic" w:hint="cs"/>
          <w:sz w:val="24"/>
          <w:szCs w:val="24"/>
          <w:rtl/>
          <w:lang w:bidi="ar-DZ"/>
        </w:rPr>
        <w:t>1901</w:t>
      </w:r>
      <w:r>
        <w:rPr>
          <w:rFonts w:ascii="Simplified Arabic" w:hAnsi="Simplified Arabic" w:cs="Simplified Arabic" w:hint="cs"/>
          <w:sz w:val="28"/>
          <w:szCs w:val="28"/>
          <w:rtl/>
          <w:lang w:bidi="ar-DZ"/>
        </w:rPr>
        <w:t xml:space="preserve"> على خلاف بلجيكا التي وضعت تشريعا خاصّا يهدف إلى تسهيل إنشاء هذه المنظّمات.ومنه فكلّ منظّمة غير حكومية ملزمة باحترام تشريع دولة يكون في معظم الأحيان غير مناسب لدورها الذي يتعدّى حدود الدّولة الوطنية لأنّه قانون مصمّم لتجمّعات وطنية. إضافة إلى أنّ دولة المقرّ تمارس بعض الضّغوطات على هذه المنظّمات غير الحكومية لتراقب ما إذا كانت تتبّع أهداف تتلاءم أو تتناقض مع سياسة الدّولة، ومع ذلك فالدّول وحدها يمكن أن تقدّم لها الخدمات والدّعم المادّي لتبقى نشطة على السّاحة الدّولية.</w:t>
      </w:r>
    </w:p>
    <w:p w:rsidR="005A2A59" w:rsidRDefault="005A2A59" w:rsidP="005A2A59">
      <w:pPr>
        <w:pStyle w:val="Paragraphedeliste"/>
        <w:tabs>
          <w:tab w:val="right" w:pos="283"/>
          <w:tab w:val="right" w:pos="425"/>
        </w:tabs>
        <w:bidi/>
        <w:ind w:left="0" w:firstLine="850"/>
        <w:jc w:val="both"/>
        <w:rPr>
          <w:rFonts w:ascii="Simplified Arabic" w:hAnsi="Simplified Arabic" w:cs="Simplified Arabic"/>
          <w:sz w:val="28"/>
          <w:szCs w:val="28"/>
          <w:rtl/>
          <w:lang w:bidi="ar-DZ"/>
        </w:rPr>
      </w:pPr>
      <w:r w:rsidRPr="00A54A82">
        <w:rPr>
          <w:rFonts w:ascii="Simplified Arabic" w:hAnsi="Simplified Arabic" w:cs="Simplified Arabic" w:hint="cs"/>
          <w:sz w:val="28"/>
          <w:szCs w:val="28"/>
          <w:rtl/>
          <w:lang w:bidi="ar-DZ"/>
        </w:rPr>
        <w:t xml:space="preserve">ويوجد </w:t>
      </w:r>
      <w:r>
        <w:rPr>
          <w:rFonts w:ascii="Simplified Arabic" w:hAnsi="Simplified Arabic" w:cs="Simplified Arabic" w:hint="cs"/>
          <w:sz w:val="28"/>
          <w:szCs w:val="28"/>
          <w:rtl/>
          <w:lang w:bidi="ar-DZ"/>
        </w:rPr>
        <w:t xml:space="preserve">هناك نصّ دولي واحد يتعلّق بالمنظّمات غير الحكومية والدّول، وهو اتّفاقية ستراسبورغ التي أبرمها مجلس أوربا في </w:t>
      </w:r>
      <w:r w:rsidRPr="00A54A82">
        <w:rPr>
          <w:rFonts w:ascii="Simplified Arabic" w:hAnsi="Simplified Arabic" w:cs="Simplified Arabic" w:hint="cs"/>
          <w:sz w:val="24"/>
          <w:szCs w:val="24"/>
          <w:rtl/>
          <w:lang w:bidi="ar-DZ"/>
        </w:rPr>
        <w:t>24</w:t>
      </w:r>
      <w:r>
        <w:rPr>
          <w:rFonts w:ascii="Simplified Arabic" w:hAnsi="Simplified Arabic" w:cs="Simplified Arabic" w:hint="cs"/>
          <w:sz w:val="28"/>
          <w:szCs w:val="28"/>
          <w:rtl/>
          <w:lang w:bidi="ar-DZ"/>
        </w:rPr>
        <w:t xml:space="preserve"> أفريل </w:t>
      </w:r>
      <w:r w:rsidRPr="00AF4851">
        <w:rPr>
          <w:rFonts w:ascii="Simplified Arabic" w:hAnsi="Simplified Arabic" w:cs="Simplified Arabic" w:hint="cs"/>
          <w:sz w:val="24"/>
          <w:szCs w:val="24"/>
          <w:rtl/>
          <w:lang w:bidi="ar-DZ"/>
        </w:rPr>
        <w:t>1986</w:t>
      </w:r>
      <w:r w:rsidRPr="00AF4851">
        <w:rPr>
          <w:rFonts w:ascii="Simplified Arabic" w:hAnsi="Simplified Arabic" w:cs="Simplified Arabic" w:hint="cs"/>
          <w:sz w:val="28"/>
          <w:szCs w:val="28"/>
          <w:rtl/>
          <w:lang w:bidi="ar-DZ"/>
        </w:rPr>
        <w:t>حول الا</w:t>
      </w:r>
      <w:r>
        <w:rPr>
          <w:rFonts w:ascii="Simplified Arabic" w:hAnsi="Simplified Arabic" w:cs="Simplified Arabic" w:hint="cs"/>
          <w:sz w:val="28"/>
          <w:szCs w:val="28"/>
          <w:rtl/>
          <w:lang w:bidi="ar-DZ"/>
        </w:rPr>
        <w:t xml:space="preserve">عتراف بالشّخصية القانونية للمنظّمات غير الحكومية، ولكن لم تضع هذه الاتّفاقية سوى المبادئ الأساسية، أي الاعتراف بهذه المنظّمات وأهليتها القانونية من قِبل الدّول الأطراف في الاتّفاقية، والتي توجد بها مقرّات هذه المنظّمات مع السّماح بالاستثناءات التي تتبنّاها الدّول بصفة انفرادية، وقد صدّقت على هذه الاتّفاقية حتى سنة </w:t>
      </w:r>
      <w:r w:rsidRPr="00AF4851">
        <w:rPr>
          <w:rFonts w:ascii="Simplified Arabic" w:hAnsi="Simplified Arabic" w:cs="Simplified Arabic" w:hint="cs"/>
          <w:sz w:val="24"/>
          <w:szCs w:val="24"/>
          <w:rtl/>
          <w:lang w:bidi="ar-DZ"/>
        </w:rPr>
        <w:t>2017</w:t>
      </w:r>
      <w:r>
        <w:rPr>
          <w:rFonts w:ascii="Simplified Arabic" w:hAnsi="Simplified Arabic" w:cs="Simplified Arabic" w:hint="cs"/>
          <w:sz w:val="28"/>
          <w:szCs w:val="28"/>
          <w:rtl/>
          <w:lang w:bidi="ar-DZ"/>
        </w:rPr>
        <w:t xml:space="preserve"> اثنتا عشرة دولة فقط.</w:t>
      </w:r>
    </w:p>
    <w:p w:rsidR="005A2A59" w:rsidRDefault="005A2A59" w:rsidP="005A2A59">
      <w:pPr>
        <w:pStyle w:val="Paragraphedeliste"/>
        <w:numPr>
          <w:ilvl w:val="0"/>
          <w:numId w:val="3"/>
        </w:numPr>
        <w:tabs>
          <w:tab w:val="right" w:pos="283"/>
          <w:tab w:val="right" w:pos="425"/>
          <w:tab w:val="right" w:pos="850"/>
        </w:tabs>
        <w:bidi/>
        <w:ind w:left="0" w:firstLine="0"/>
        <w:jc w:val="both"/>
        <w:rPr>
          <w:rFonts w:ascii="Simplified Arabic" w:hAnsi="Simplified Arabic" w:cs="Simplified Arabic"/>
          <w:sz w:val="28"/>
          <w:szCs w:val="28"/>
          <w:lang w:bidi="ar-DZ"/>
        </w:rPr>
      </w:pPr>
      <w:r w:rsidRPr="00AF4851">
        <w:rPr>
          <w:rFonts w:ascii="Simplified Arabic" w:hAnsi="Simplified Arabic" w:cs="Simplified Arabic" w:hint="cs"/>
          <w:b/>
          <w:bCs/>
          <w:sz w:val="28"/>
          <w:szCs w:val="28"/>
          <w:rtl/>
          <w:lang w:bidi="ar-DZ"/>
        </w:rPr>
        <w:t>علاقة المنظّمات غير الحكومية بالمنظّمات الدّولية الحكومية</w:t>
      </w:r>
      <w:r>
        <w:rPr>
          <w:rFonts w:ascii="Simplified Arabic" w:hAnsi="Simplified Arabic" w:cs="Simplified Arabic" w:hint="cs"/>
          <w:sz w:val="28"/>
          <w:szCs w:val="28"/>
          <w:rtl/>
          <w:lang w:bidi="ar-DZ"/>
        </w:rPr>
        <w:t xml:space="preserve">: </w:t>
      </w:r>
    </w:p>
    <w:p w:rsidR="005A2A59" w:rsidRDefault="005A2A59" w:rsidP="005A2A59">
      <w:pPr>
        <w:pStyle w:val="Paragraphedeliste"/>
        <w:tabs>
          <w:tab w:val="right" w:pos="425"/>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النّص الأساسي الذي ينظّم مسألة العلاقة بين المنظّمات غير الحكومية والمنظّمات الدّولية الحكومية هو نصّ المادّة 71 من ميثاق الأمم المتّحدة، والذي تمّ تكراره في الوثائق التّأسيسية للوكالات المتخصّصة التّابعة للمنظّمة الأممية، وورد فيه ما يلي: " للمجلس الاقتصادي والاجتماعي أن يُجري التّرتيبات المناسبة للتّشاور مع الهيئات غير الحكومية التي تُعنى بالمسائل الدّاخلة في اختصاصه".</w:t>
      </w:r>
    </w:p>
    <w:p w:rsidR="005A2A59" w:rsidRDefault="005A2A59" w:rsidP="005A2A59">
      <w:pPr>
        <w:pStyle w:val="Paragraphedeliste"/>
        <w:tabs>
          <w:tab w:val="right" w:pos="425"/>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ويتّضح من خلال هذا النّص أنّ المنظّمات غير الحكومية يمكنها أن تتمتّع بمركز استشاري يُمنح بحسب السّلطة التّقديرية للمجلس الاقتصادي والاجتماعي التّابع للأمم المتّحدة، وهناك حوالى 3200 منظّمة غير حكومية تنشط في التّطور الاقتصادي والاجتماعي تتمتّع بهذا المركز. ويسمح هذا المركز الاستشاري للمنظّمات غير الحكومية أن تبعث ملاحظين إلى الاجتماعات العامّة التي يعقدها المجلس الاقتصادي والاجتماعي ولأجهزته المساعدة (الفرعية)، وأن تقدّم بيانات كتابية تهمّ أعمال المجلس، كما يمكنها إجراء مشاورات مع الأمانة العامّة للأمم المتّحدة حول مسائل ذات الاهتمام المشترك.</w:t>
      </w:r>
    </w:p>
    <w:p w:rsidR="005A2A59" w:rsidRDefault="005A2A59" w:rsidP="005A2A59">
      <w:pPr>
        <w:pStyle w:val="Paragraphedeliste"/>
        <w:tabs>
          <w:tab w:val="right" w:pos="425"/>
          <w:tab w:val="right" w:pos="850"/>
        </w:tabs>
        <w:bidi/>
        <w:spacing w:after="0"/>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وينبغي التّذكير بأنّ اللّجنة الدّولية للصّليب الأحمر، وهي منظّمة غير حكومية، لها مكانة دولية خاصّة لأنّ اتّفاقيات جنيف </w:t>
      </w:r>
      <w:r w:rsidRPr="00784DBD">
        <w:rPr>
          <w:rFonts w:ascii="Simplified Arabic" w:hAnsi="Simplified Arabic" w:cs="Simplified Arabic" w:hint="cs"/>
          <w:sz w:val="24"/>
          <w:szCs w:val="24"/>
          <w:rtl/>
          <w:lang w:bidi="ar-DZ"/>
        </w:rPr>
        <w:t>1949</w:t>
      </w:r>
      <w:r>
        <w:rPr>
          <w:rFonts w:ascii="Simplified Arabic" w:hAnsi="Simplified Arabic" w:cs="Simplified Arabic" w:hint="cs"/>
          <w:sz w:val="28"/>
          <w:szCs w:val="28"/>
          <w:rtl/>
          <w:lang w:bidi="ar-DZ"/>
        </w:rPr>
        <w:t xml:space="preserve"> هي التي أضفت عليها الطّابع المؤسّسي، الأمر الذي منحها بعض سلطات التّدخل الإنساني، كما أنّها تساهم في تفعيل أنشطة اللّجان الوطنية للصّليب الأحمر والهلال الأحمر وتطويرها والتّنسيق بينها. إضافة إلى أنّه، من النّاحية القانونية، تتمتّع اللّجنة الدّولية للصّليب الأحمر بالشّخصية القانونية الدّولية </w:t>
      </w:r>
      <w:r w:rsidRPr="00F47D3D">
        <w:rPr>
          <w:rFonts w:ascii="Simplified Arabic" w:hAnsi="Simplified Arabic" w:cs="Simplified Arabic" w:hint="cs"/>
          <w:b/>
          <w:bCs/>
          <w:sz w:val="28"/>
          <w:szCs w:val="28"/>
          <w:rtl/>
          <w:lang w:bidi="ar-DZ"/>
        </w:rPr>
        <w:t>كأنّها</w:t>
      </w:r>
      <w:r>
        <w:rPr>
          <w:rFonts w:ascii="Simplified Arabic" w:hAnsi="Simplified Arabic" w:cs="Simplified Arabic" w:hint="cs"/>
          <w:sz w:val="28"/>
          <w:szCs w:val="28"/>
          <w:rtl/>
          <w:lang w:bidi="ar-DZ"/>
        </w:rPr>
        <w:t xml:space="preserve"> منظّمة دولية حكومية رغم أنّها في الأساس تجمّع من الخواصّ نشأ وفق القانون المدني السّويسري، فهي تتمتّع بمركز مراقب أمام الجمعية العامّة للأمم المتّحدة.</w:t>
      </w:r>
    </w:p>
    <w:p w:rsidR="005A2A59" w:rsidRDefault="005A2A59" w:rsidP="005A2A59">
      <w:pPr>
        <w:tabs>
          <w:tab w:val="right" w:pos="425"/>
          <w:tab w:val="right" w:pos="850"/>
        </w:tabs>
        <w:bidi/>
        <w:spacing w:after="0"/>
        <w:jc w:val="both"/>
        <w:rPr>
          <w:rFonts w:ascii="Simplified Arabic" w:hAnsi="Simplified Arabic" w:cs="Simplified Arabic"/>
          <w:b/>
          <w:bCs/>
          <w:sz w:val="28"/>
          <w:szCs w:val="28"/>
          <w:rtl/>
          <w:lang w:bidi="ar-DZ"/>
        </w:rPr>
      </w:pPr>
      <w:r w:rsidRPr="00784DBD">
        <w:rPr>
          <w:rFonts w:ascii="Simplified Arabic" w:hAnsi="Simplified Arabic" w:cs="Simplified Arabic" w:hint="cs"/>
          <w:b/>
          <w:bCs/>
          <w:sz w:val="28"/>
          <w:szCs w:val="28"/>
          <w:rtl/>
          <w:lang w:bidi="ar-DZ"/>
        </w:rPr>
        <w:t xml:space="preserve"> ثانيا: حركات التّحرّر الوطني</w:t>
      </w:r>
      <w:r w:rsidRPr="00794CB1">
        <w:rPr>
          <w:rFonts w:ascii="Simplified Arabic" w:hAnsi="Simplified Arabic" w:cs="Simplified Arabic" w:hint="cs"/>
          <w:b/>
          <w:bCs/>
          <w:sz w:val="28"/>
          <w:szCs w:val="28"/>
          <w:rtl/>
          <w:lang w:bidi="ar-DZ"/>
        </w:rPr>
        <w:t xml:space="preserve">: </w:t>
      </w:r>
    </w:p>
    <w:p w:rsidR="005A2A59" w:rsidRDefault="005A2A59" w:rsidP="005A2A59">
      <w:pPr>
        <w:tabs>
          <w:tab w:val="right" w:pos="425"/>
          <w:tab w:val="right" w:pos="850"/>
        </w:tabs>
        <w:bidi/>
        <w:spacing w:after="0"/>
        <w:ind w:firstLine="850"/>
        <w:jc w:val="both"/>
        <w:rPr>
          <w:rFonts w:ascii="Simplified Arabic" w:hAnsi="Simplified Arabic" w:cs="Simplified Arabic"/>
          <w:b/>
          <w:bCs/>
          <w:sz w:val="28"/>
          <w:szCs w:val="28"/>
          <w:rtl/>
          <w:lang w:bidi="ar-DZ"/>
        </w:rPr>
      </w:pPr>
      <w:r w:rsidRPr="00794CB1">
        <w:rPr>
          <w:rFonts w:ascii="Simplified Arabic" w:hAnsi="Simplified Arabic" w:cs="Simplified Arabic" w:hint="cs"/>
          <w:sz w:val="28"/>
          <w:szCs w:val="28"/>
          <w:rtl/>
          <w:lang w:bidi="ar-DZ"/>
        </w:rPr>
        <w:t xml:space="preserve">ترجع أصول ظاهرة حركات التّحرّر في المجتمع الدّولي الحديث إلى حالة الثّوار أو المحاربين في الربع الأخير من القرن الثّامن عشر مع الثّورة الأمريكية وبداية القرن التّاسع عشر مع مختلف الثّورات في أمريكا اللّاتينية. لكن تكاثرت هذه الظّاهرة وتوسّعت خاصّة بعد الحرب العالمية الثّانية، خصوصا في دول إفريقيا وآسيا التي لجأت شعوبها إلى تنظيم نفسها سياسيا وعسكريا من أجل تحرير بلدانها وحصولها على الاستقلال، ومن أشهر هذه الحركات جبهة التّحرير الوطني الجزائرية التي قادت الثّورة المسلّحة من سنة </w:t>
      </w:r>
      <w:r w:rsidRPr="00794CB1">
        <w:rPr>
          <w:rFonts w:ascii="Simplified Arabic" w:hAnsi="Simplified Arabic" w:cs="Simplified Arabic" w:hint="cs"/>
          <w:sz w:val="24"/>
          <w:szCs w:val="24"/>
          <w:rtl/>
          <w:lang w:bidi="ar-DZ"/>
        </w:rPr>
        <w:t>1954</w:t>
      </w:r>
      <w:r w:rsidRPr="00794CB1">
        <w:rPr>
          <w:rFonts w:ascii="Simplified Arabic" w:hAnsi="Simplified Arabic" w:cs="Simplified Arabic" w:hint="cs"/>
          <w:sz w:val="28"/>
          <w:szCs w:val="28"/>
          <w:rtl/>
          <w:lang w:bidi="ar-DZ"/>
        </w:rPr>
        <w:t xml:space="preserve"> حتى الاستقلال سنة </w:t>
      </w:r>
      <w:r w:rsidRPr="00794CB1">
        <w:rPr>
          <w:rFonts w:ascii="Simplified Arabic" w:hAnsi="Simplified Arabic" w:cs="Simplified Arabic" w:hint="cs"/>
          <w:sz w:val="24"/>
          <w:szCs w:val="24"/>
          <w:rtl/>
          <w:lang w:bidi="ar-DZ"/>
        </w:rPr>
        <w:t>1962</w:t>
      </w:r>
      <w:r w:rsidRPr="00794CB1">
        <w:rPr>
          <w:rFonts w:ascii="Simplified Arabic" w:hAnsi="Simplified Arabic" w:cs="Simplified Arabic" w:hint="cs"/>
          <w:sz w:val="28"/>
          <w:szCs w:val="28"/>
          <w:rtl/>
          <w:lang w:bidi="ar-DZ"/>
        </w:rPr>
        <w:t>. وإذا كان كفاح معظم حركات التّحرّر الوطني قد أفضى إلى استقلال الدّول التي كانت محتلّة، ممّا جعل هذه الحركات ذات طبيعة مؤقّتة وانتقالية، فإنّ الواقع يُظهر بأنّ بعضها ما زال يناضل من أجل التّحرّر والكيان المستقلّ، الأمر الذي يتطلّب تحديد المقصود من هذه الحركات ومركزها القانوني في المجتمع الدّولي.</w:t>
      </w:r>
    </w:p>
    <w:p w:rsidR="005A2A59" w:rsidRPr="00D21B60" w:rsidRDefault="005A2A59" w:rsidP="005A2A59">
      <w:pPr>
        <w:pStyle w:val="Paragraphedeliste"/>
        <w:numPr>
          <w:ilvl w:val="0"/>
          <w:numId w:val="4"/>
        </w:numPr>
        <w:tabs>
          <w:tab w:val="right" w:pos="425"/>
          <w:tab w:val="right" w:pos="850"/>
        </w:tabs>
        <w:bidi/>
        <w:spacing w:after="0"/>
        <w:ind w:left="0" w:firstLine="0"/>
        <w:jc w:val="both"/>
        <w:rPr>
          <w:rFonts w:ascii="Simplified Arabic" w:hAnsi="Simplified Arabic" w:cs="Simplified Arabic"/>
          <w:b/>
          <w:bCs/>
          <w:sz w:val="28"/>
          <w:szCs w:val="28"/>
          <w:lang w:bidi="ar-DZ"/>
        </w:rPr>
      </w:pPr>
      <w:r w:rsidRPr="00794CB1">
        <w:rPr>
          <w:rFonts w:ascii="Simplified Arabic" w:hAnsi="Simplified Arabic" w:cs="Simplified Arabic" w:hint="cs"/>
          <w:b/>
          <w:bCs/>
          <w:sz w:val="28"/>
          <w:szCs w:val="28"/>
          <w:rtl/>
          <w:lang w:bidi="ar-DZ"/>
        </w:rPr>
        <w:lastRenderedPageBreak/>
        <w:t>مفهوم حركات التّحرّر الوطني</w:t>
      </w:r>
      <w:r>
        <w:rPr>
          <w:rFonts w:ascii="Simplified Arabic" w:hAnsi="Simplified Arabic" w:cs="Simplified Arabic" w:hint="cs"/>
          <w:sz w:val="28"/>
          <w:szCs w:val="28"/>
          <w:rtl/>
          <w:lang w:bidi="ar-DZ"/>
        </w:rPr>
        <w:t>: لم يحدّد القانون والفقه الدّوليان معايير واضحة وثابتة تساعد في وضع تعريف مضبوط لحركات التّحرّر، وهذا ما وفّر للدّول حججا تتذّرع بها في التّعامل مع هذه الحركات بحسب ما يحقّق لها أهدافها ومصالحها، وبحسب ما إذا كانت دولة معتدية أو معتدى عليها، فالدّول المعتدية تعتبر هذه الحركات جماعات إرهابية فتطبّق عليها أقسى معاملة وأشدّ العقوبات، بينما تعتبرها الدّول المعتدى عليها أنّها حركات مشروعة تمارس حقّها في الدّفاع عن الوطن وردّ الاعتداء. لكن مع تنامي هذه الحركات في سنوات الستينيات والسّبعينات، وبروز دورها النّضالي في سبيل تحقيق استقلال بلدانها على المستوى الدّولي كما على المستوى الدّاخلي، تدعّم الاعتراف الدّولي بها واعتُبرت الحروب التي تقوم بها حروبا دولية، حيث نصّت المادّة الأولى (الفقرة الرّابعة) من البروتوكول الإضافي الأوّل لاّتفاقيات جنيف لسنة 1977 على أنّه " يعتبر من قبيل الحروب الدّولية (....) المنازعات التي تناضل فيها الشّعوب ضدّ التّسلط الاستعماري والاحتلال الأجنبي وضدّ الأنظمة العنصرية، وذلك في ممارستها لحقّ الشّعوب في تقرير المصير كما كرّسه ميثاق الأمم المتّحدة والإعلان المتعلّق بمبادئ القانون الدّولي الخاصّة بالعلاقات الودّية، والتّعاون بين الدّول طبقا لميثاق الأمم المتّحدة".</w:t>
      </w:r>
    </w:p>
    <w:p w:rsidR="005A2A59" w:rsidRDefault="005A2A59" w:rsidP="005A2A59">
      <w:pPr>
        <w:pStyle w:val="Paragraphedeliste"/>
        <w:tabs>
          <w:tab w:val="right" w:pos="425"/>
          <w:tab w:val="right" w:pos="850"/>
        </w:tabs>
        <w:bidi/>
        <w:ind w:left="0" w:firstLine="850"/>
        <w:jc w:val="both"/>
        <w:rPr>
          <w:rFonts w:ascii="Simplified Arabic" w:hAnsi="Simplified Arabic" w:cs="Simplified Arabic"/>
          <w:b/>
          <w:bCs/>
          <w:sz w:val="28"/>
          <w:szCs w:val="28"/>
          <w:rtl/>
          <w:lang w:bidi="ar-DZ"/>
        </w:rPr>
      </w:pPr>
      <w:r w:rsidRPr="00D21B60">
        <w:rPr>
          <w:rFonts w:ascii="Simplified Arabic" w:hAnsi="Simplified Arabic" w:cs="Simplified Arabic" w:hint="cs"/>
          <w:sz w:val="28"/>
          <w:szCs w:val="28"/>
          <w:rtl/>
          <w:lang w:bidi="ar-DZ"/>
        </w:rPr>
        <w:t>والمتأمّل</w:t>
      </w:r>
      <w:r>
        <w:rPr>
          <w:rFonts w:ascii="Simplified Arabic" w:hAnsi="Simplified Arabic" w:cs="Simplified Arabic" w:hint="cs"/>
          <w:sz w:val="28"/>
          <w:szCs w:val="28"/>
          <w:rtl/>
          <w:lang w:bidi="ar-DZ"/>
        </w:rPr>
        <w:t xml:space="preserve"> في هذا النّص يلاحظ أنّ مناط إصباغ المشروعية على حركات التّحرّر الوطني هو مقاومة الاستعمار والاحتلال الأجنبي والأنظمة العنصرية. ومنه يمكن تعريف حركات التّحرّر الوطني</w:t>
      </w:r>
      <w:r w:rsidRPr="00794CB1">
        <w:rPr>
          <w:rFonts w:ascii="Simplified Arabic" w:hAnsi="Simplified Arabic" w:cs="Simplified Arabic" w:hint="cs"/>
          <w:sz w:val="28"/>
          <w:szCs w:val="28"/>
          <w:rtl/>
          <w:lang w:bidi="ar-DZ"/>
        </w:rPr>
        <w:t xml:space="preserve"> بأنّها </w:t>
      </w:r>
      <w:r w:rsidRPr="00A50BB6">
        <w:rPr>
          <w:rFonts w:ascii="Simplified Arabic" w:hAnsi="Simplified Arabic" w:cs="Simplified Arabic" w:hint="cs"/>
          <w:b/>
          <w:bCs/>
          <w:sz w:val="28"/>
          <w:szCs w:val="28"/>
          <w:rtl/>
          <w:lang w:bidi="ar-DZ"/>
        </w:rPr>
        <w:t xml:space="preserve">تنظيمات وطنية لها جناح عسكري وآخر مدني يجمعها دافع مقاومة الاحتلال والنّضال من أجل الاستقلال، ولا يهمّ ما إذا كانت هذه التّنظيمات تخضع لإشراف سلطة قانونية أو واقعية أو كانت تعمل بمبادراتها </w:t>
      </w:r>
      <w:r>
        <w:rPr>
          <w:rFonts w:ascii="Simplified Arabic" w:hAnsi="Simplified Arabic" w:cs="Simplified Arabic" w:hint="cs"/>
          <w:b/>
          <w:bCs/>
          <w:sz w:val="28"/>
          <w:szCs w:val="28"/>
          <w:rtl/>
          <w:lang w:bidi="ar-DZ"/>
        </w:rPr>
        <w:t>ال</w:t>
      </w:r>
      <w:r w:rsidRPr="00A50BB6">
        <w:rPr>
          <w:rFonts w:ascii="Simplified Arabic" w:hAnsi="Simplified Arabic" w:cs="Simplified Arabic" w:hint="cs"/>
          <w:b/>
          <w:bCs/>
          <w:sz w:val="28"/>
          <w:szCs w:val="28"/>
          <w:rtl/>
          <w:lang w:bidi="ar-DZ"/>
        </w:rPr>
        <w:t>خاصّة، كما لا يهمّ ما إذا كانت تناضل فوق الإقليم المحتلّ أو من قواعد خارجه</w:t>
      </w:r>
      <w:r>
        <w:rPr>
          <w:rFonts w:ascii="Simplified Arabic" w:hAnsi="Simplified Arabic" w:cs="Simplified Arabic" w:hint="cs"/>
          <w:b/>
          <w:bCs/>
          <w:sz w:val="28"/>
          <w:szCs w:val="28"/>
          <w:rtl/>
          <w:lang w:bidi="ar-DZ"/>
        </w:rPr>
        <w:t>.</w:t>
      </w:r>
    </w:p>
    <w:p w:rsidR="005A2A59" w:rsidRDefault="005A2A59" w:rsidP="005A2A59">
      <w:pPr>
        <w:pStyle w:val="Paragraphedeliste"/>
        <w:tabs>
          <w:tab w:val="right" w:pos="425"/>
          <w:tab w:val="right" w:pos="850"/>
        </w:tabs>
        <w:bidi/>
        <w:ind w:left="0" w:firstLine="850"/>
        <w:jc w:val="both"/>
        <w:rPr>
          <w:rFonts w:ascii="Simplified Arabic" w:hAnsi="Simplified Arabic" w:cs="Simplified Arabic"/>
          <w:sz w:val="28"/>
          <w:szCs w:val="28"/>
          <w:rtl/>
          <w:lang w:bidi="ar-DZ"/>
        </w:rPr>
      </w:pPr>
      <w:r w:rsidRPr="00A50BB6">
        <w:rPr>
          <w:rFonts w:ascii="Simplified Arabic" w:hAnsi="Simplified Arabic" w:cs="Simplified Arabic" w:hint="cs"/>
          <w:sz w:val="28"/>
          <w:szCs w:val="28"/>
          <w:rtl/>
          <w:lang w:bidi="ar-DZ"/>
        </w:rPr>
        <w:t>ومن</w:t>
      </w:r>
      <w:r>
        <w:rPr>
          <w:rFonts w:ascii="Simplified Arabic" w:hAnsi="Simplified Arabic" w:cs="Simplified Arabic" w:hint="cs"/>
          <w:sz w:val="28"/>
          <w:szCs w:val="28"/>
          <w:rtl/>
          <w:lang w:bidi="ar-DZ"/>
        </w:rPr>
        <w:t xml:space="preserve"> خلال هذا التّعريف يمكن استخراج العناصر التي تميّز حركات التّحرّر الوطني عن الكيانات المشابهة لها، وهي: </w:t>
      </w:r>
    </w:p>
    <w:p w:rsidR="005A2A59" w:rsidRDefault="005A2A59" w:rsidP="005A2A59">
      <w:pPr>
        <w:pStyle w:val="Paragraphedeliste"/>
        <w:numPr>
          <w:ilvl w:val="0"/>
          <w:numId w:val="1"/>
        </w:numPr>
        <w:tabs>
          <w:tab w:val="right" w:pos="283"/>
          <w:tab w:val="right" w:pos="425"/>
          <w:tab w:val="right" w:pos="850"/>
        </w:tabs>
        <w:bidi/>
        <w:ind w:left="0" w:firstLine="0"/>
        <w:jc w:val="both"/>
        <w:rPr>
          <w:rFonts w:ascii="Simplified Arabic" w:hAnsi="Simplified Arabic" w:cs="Simplified Arabic"/>
          <w:sz w:val="28"/>
          <w:szCs w:val="28"/>
          <w:lang w:bidi="ar-DZ"/>
        </w:rPr>
      </w:pPr>
      <w:r w:rsidRPr="004E6A63">
        <w:rPr>
          <w:rFonts w:ascii="Simplified Arabic" w:hAnsi="Simplified Arabic" w:cs="Simplified Arabic" w:hint="cs"/>
          <w:b/>
          <w:bCs/>
          <w:sz w:val="28"/>
          <w:szCs w:val="28"/>
          <w:rtl/>
          <w:lang w:bidi="ar-DZ"/>
        </w:rPr>
        <w:t>تنظيمات وطنية</w:t>
      </w:r>
      <w:r>
        <w:rPr>
          <w:rFonts w:ascii="Simplified Arabic" w:hAnsi="Simplified Arabic" w:cs="Simplified Arabic" w:hint="cs"/>
          <w:sz w:val="28"/>
          <w:szCs w:val="28"/>
          <w:rtl/>
          <w:lang w:bidi="ar-DZ"/>
        </w:rPr>
        <w:t xml:space="preserve">، حيث تتشكّل حركات التّحرّر الوطني في الغالب الأعمّ من تنظيمين أساسيين: تنظيم سياسي وتنظيم عسكري. كماتتدعّم حركات التحرير في بعض الأحيان بحكومة مؤقّتة يرتبط تشكيلها وعملها بالظروف  والمرحلة التي وصل  إليها كفاح هذه الحركات. </w:t>
      </w:r>
    </w:p>
    <w:p w:rsidR="005A2A59" w:rsidRPr="00F70323" w:rsidRDefault="005A2A59" w:rsidP="005A2A59">
      <w:pPr>
        <w:pStyle w:val="Paragraphedeliste"/>
        <w:numPr>
          <w:ilvl w:val="0"/>
          <w:numId w:val="1"/>
        </w:numPr>
        <w:tabs>
          <w:tab w:val="right" w:pos="283"/>
          <w:tab w:val="right" w:pos="425"/>
          <w:tab w:val="righ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خضوع الشّعوب المقاومة للاحتلال الأجنبي أو للأنظمة العنصرية، </w:t>
      </w:r>
      <w:r w:rsidRPr="0026539D">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هذا ما ينزع صفة حركات التّحرّر الوطني عن أعمال التمرّد والعصيان داخل الدّولة وعلى بعض الحركات الانفصالية. </w:t>
      </w:r>
    </w:p>
    <w:p w:rsidR="005A2A59" w:rsidRDefault="005A2A59" w:rsidP="005A2A59">
      <w:pPr>
        <w:pStyle w:val="Paragraphedeliste"/>
        <w:numPr>
          <w:ilvl w:val="0"/>
          <w:numId w:val="1"/>
        </w:numPr>
        <w:tabs>
          <w:tab w:val="right" w:pos="283"/>
          <w:tab w:val="right" w:pos="425"/>
          <w:tab w:val="righ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انتهاج الكفاح المسلّح، </w:t>
      </w:r>
      <w:r>
        <w:rPr>
          <w:rFonts w:ascii="Simplified Arabic" w:hAnsi="Simplified Arabic" w:cs="Simplified Arabic" w:hint="cs"/>
          <w:sz w:val="28"/>
          <w:szCs w:val="28"/>
          <w:rtl/>
          <w:lang w:bidi="ar-DZ"/>
        </w:rPr>
        <w:t xml:space="preserve">وعدم اقتصار حركات التّحرّر الوطني على الكفاح السّياسي فقط، وهو ما يميّزها عن تجمعات وطنية أخرى مثل الأحزاب السّياسية. إلّا أنّ هذا لا يعني أنّ هذه الحركات لا توقف </w:t>
      </w:r>
      <w:r>
        <w:rPr>
          <w:rFonts w:ascii="Simplified Arabic" w:hAnsi="Simplified Arabic" w:cs="Simplified Arabic" w:hint="cs"/>
          <w:sz w:val="28"/>
          <w:szCs w:val="28"/>
          <w:rtl/>
          <w:lang w:bidi="ar-DZ"/>
        </w:rPr>
        <w:lastRenderedPageBreak/>
        <w:t>عملياتها المسلّحة دائما، بل إنّها قد تتوّقف في بعض الفترات وتعطي أولوية للنّضال السّياسي حسب حاجتها إليه.</w:t>
      </w:r>
    </w:p>
    <w:p w:rsidR="005A2A59" w:rsidRDefault="005A2A59" w:rsidP="005A2A59">
      <w:pPr>
        <w:pStyle w:val="Paragraphedeliste"/>
        <w:numPr>
          <w:ilvl w:val="0"/>
          <w:numId w:val="1"/>
        </w:numPr>
        <w:tabs>
          <w:tab w:val="right" w:pos="283"/>
          <w:tab w:val="right" w:pos="425"/>
          <w:tab w:val="right" w:pos="850"/>
        </w:tabs>
        <w:bidi/>
        <w:ind w:left="0" w:firstLine="0"/>
        <w:jc w:val="both"/>
        <w:rPr>
          <w:rFonts w:ascii="Simplified Arabic" w:hAnsi="Simplified Arabic" w:cs="Simplified Arabic"/>
          <w:sz w:val="28"/>
          <w:szCs w:val="28"/>
          <w:lang w:bidi="ar-DZ"/>
        </w:rPr>
      </w:pPr>
      <w:r w:rsidRPr="00F41C6D">
        <w:rPr>
          <w:rFonts w:ascii="Simplified Arabic" w:hAnsi="Simplified Arabic" w:cs="Simplified Arabic" w:hint="cs"/>
          <w:b/>
          <w:bCs/>
          <w:sz w:val="28"/>
          <w:szCs w:val="28"/>
          <w:rtl/>
          <w:lang w:bidi="ar-DZ"/>
        </w:rPr>
        <w:t xml:space="preserve">تهدف إلى تحقيق الاستقلال وممارسة حقّها في تقرير المصير، </w:t>
      </w:r>
      <w:r w:rsidRPr="00F41C6D">
        <w:rPr>
          <w:rFonts w:ascii="Simplified Arabic" w:hAnsi="Simplified Arabic" w:cs="Simplified Arabic" w:hint="cs"/>
          <w:sz w:val="28"/>
          <w:szCs w:val="28"/>
          <w:rtl/>
          <w:lang w:bidi="ar-DZ"/>
        </w:rPr>
        <w:t>وهو</w:t>
      </w:r>
      <w:r>
        <w:rPr>
          <w:rFonts w:ascii="Simplified Arabic" w:hAnsi="Simplified Arabic" w:cs="Simplified Arabic" w:hint="cs"/>
          <w:sz w:val="28"/>
          <w:szCs w:val="28"/>
          <w:rtl/>
          <w:lang w:bidi="ar-DZ"/>
        </w:rPr>
        <w:t xml:space="preserve"> الهدف الذي يعزّز من مكانتها في المجتمع الدّولي، حيث أنّ الحقّ في تقرير المصير مكرّس بموجب ميثاق الأمم المتّحدة، وكذا اتّفاقيات حقوق الإنسان، كما يُمكّنها هذا الهدف من إصباغ صفة الدّولية على النّزاعات المسلّحة التي تخوضها، وكذا يتيح لها عقد مفاوضات مع الدّول التي هي أشخاص أصيلة في المجتمع الدّولي.</w:t>
      </w:r>
    </w:p>
    <w:p w:rsidR="005A2A59" w:rsidRDefault="005A2A59" w:rsidP="005A2A59">
      <w:pPr>
        <w:pStyle w:val="Paragraphedeliste"/>
        <w:numPr>
          <w:ilvl w:val="0"/>
          <w:numId w:val="4"/>
        </w:numPr>
        <w:tabs>
          <w:tab w:val="right" w:pos="425"/>
          <w:tab w:val="right" w:pos="850"/>
        </w:tabs>
        <w:bidi/>
        <w:ind w:left="0" w:firstLine="0"/>
        <w:jc w:val="both"/>
        <w:rPr>
          <w:rFonts w:ascii="Simplified Arabic" w:hAnsi="Simplified Arabic" w:cs="Simplified Arabic"/>
          <w:b/>
          <w:bCs/>
          <w:sz w:val="28"/>
          <w:szCs w:val="28"/>
          <w:lang w:bidi="ar-DZ"/>
        </w:rPr>
      </w:pPr>
      <w:r w:rsidRPr="000B06EA">
        <w:rPr>
          <w:rFonts w:ascii="Simplified Arabic" w:hAnsi="Simplified Arabic" w:cs="Simplified Arabic" w:hint="cs"/>
          <w:b/>
          <w:bCs/>
          <w:sz w:val="28"/>
          <w:szCs w:val="28"/>
          <w:rtl/>
          <w:lang w:bidi="ar-DZ"/>
        </w:rPr>
        <w:t>المركز القانوني لحركات التّحرّر الوطني:</w:t>
      </w:r>
    </w:p>
    <w:p w:rsidR="005A2A59" w:rsidRDefault="005A2A59" w:rsidP="005A2A59">
      <w:pPr>
        <w:pStyle w:val="Paragraphedeliste"/>
        <w:tabs>
          <w:tab w:val="right" w:pos="425"/>
          <w:tab w:val="right" w:pos="850"/>
        </w:tabs>
        <w:bidi/>
        <w:ind w:left="0" w:firstLine="850"/>
        <w:jc w:val="both"/>
        <w:rPr>
          <w:rFonts w:ascii="Simplified Arabic" w:hAnsi="Simplified Arabic" w:cs="Simplified Arabic"/>
          <w:sz w:val="28"/>
          <w:szCs w:val="28"/>
          <w:rtl/>
          <w:lang w:bidi="ar-DZ"/>
        </w:rPr>
      </w:pPr>
      <w:r w:rsidRPr="00B119C4">
        <w:rPr>
          <w:rFonts w:ascii="Simplified Arabic" w:hAnsi="Simplified Arabic" w:cs="Simplified Arabic" w:hint="cs"/>
          <w:sz w:val="28"/>
          <w:szCs w:val="28"/>
          <w:rtl/>
          <w:lang w:bidi="ar-DZ"/>
        </w:rPr>
        <w:t xml:space="preserve">اختلف </w:t>
      </w:r>
      <w:r>
        <w:rPr>
          <w:rFonts w:ascii="Simplified Arabic" w:hAnsi="Simplified Arabic" w:cs="Simplified Arabic" w:hint="cs"/>
          <w:sz w:val="28"/>
          <w:szCs w:val="28"/>
          <w:rtl/>
          <w:lang w:bidi="ar-DZ"/>
        </w:rPr>
        <w:t xml:space="preserve">الفقه الدّولي في مسألة تمتّع حركات التّحرّر الوطني بالشّخصية القانونية الدّولية، وانقسم إلى اتّجاهين: </w:t>
      </w:r>
    </w:p>
    <w:p w:rsidR="005A2A59" w:rsidRPr="00F658D5" w:rsidRDefault="005A2A59" w:rsidP="005A2A59">
      <w:pPr>
        <w:pStyle w:val="Paragraphedeliste"/>
        <w:numPr>
          <w:ilvl w:val="0"/>
          <w:numId w:val="5"/>
        </w:numPr>
        <w:tabs>
          <w:tab w:val="right" w:pos="283"/>
          <w:tab w:val="right" w:pos="425"/>
          <w:tab w:val="righ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اتّجاه تزّعمه الاتّحاد السّوفييتي سابقا والدّول النّامية يقرّ بتمتّع حركات التّحرّر الوطني بالشّخصية القانونية الدّولية مستندا في ذلك على الاعتراف الدّولي بشرعيتها،ومشروعية لجوئها إلى الكفاح المسلّح الذي تستهدف منه الحصول على الاستقلال، وقد تجسّد هذا الاعتراف في عدد من الوثائق الدّولية، منها القرار رقم </w:t>
      </w:r>
      <w:r w:rsidRPr="00F658D5">
        <w:rPr>
          <w:rFonts w:ascii="Simplified Arabic" w:hAnsi="Simplified Arabic" w:cs="Simplified Arabic" w:hint="cs"/>
          <w:sz w:val="24"/>
          <w:szCs w:val="24"/>
          <w:rtl/>
          <w:lang w:bidi="ar-DZ"/>
        </w:rPr>
        <w:t>1514</w:t>
      </w:r>
      <w:r>
        <w:rPr>
          <w:rFonts w:ascii="Simplified Arabic" w:hAnsi="Simplified Arabic" w:cs="Simplified Arabic" w:hint="cs"/>
          <w:sz w:val="28"/>
          <w:szCs w:val="28"/>
          <w:rtl/>
          <w:lang w:bidi="ar-DZ"/>
        </w:rPr>
        <w:t xml:space="preserve"> الخاص بتصفية الاستعمار ومنح الشّعوب المستعمرة الحق في الاستقلال وتقرير المصير الذي أصدرته الجمعية العامّة للأمم المتّحدة في </w:t>
      </w:r>
      <w:r w:rsidRPr="00F658D5">
        <w:rPr>
          <w:rFonts w:ascii="Simplified Arabic" w:hAnsi="Simplified Arabic" w:cs="Simplified Arabic" w:hint="cs"/>
          <w:sz w:val="24"/>
          <w:szCs w:val="24"/>
          <w:rtl/>
          <w:lang w:bidi="ar-DZ"/>
        </w:rPr>
        <w:t>14</w:t>
      </w:r>
      <w:r>
        <w:rPr>
          <w:rFonts w:ascii="Simplified Arabic" w:hAnsi="Simplified Arabic" w:cs="Simplified Arabic" w:hint="cs"/>
          <w:sz w:val="28"/>
          <w:szCs w:val="28"/>
          <w:rtl/>
          <w:lang w:bidi="ar-DZ"/>
        </w:rPr>
        <w:t xml:space="preserve"> ديسمبر</w:t>
      </w:r>
      <w:r w:rsidRPr="00F658D5">
        <w:rPr>
          <w:rFonts w:ascii="Simplified Arabic" w:hAnsi="Simplified Arabic" w:cs="Simplified Arabic" w:hint="cs"/>
          <w:sz w:val="24"/>
          <w:szCs w:val="24"/>
          <w:rtl/>
          <w:lang w:bidi="ar-DZ"/>
        </w:rPr>
        <w:t>1960</w:t>
      </w:r>
      <w:r>
        <w:rPr>
          <w:rFonts w:ascii="Simplified Arabic" w:hAnsi="Simplified Arabic" w:cs="Simplified Arabic" w:hint="cs"/>
          <w:sz w:val="24"/>
          <w:szCs w:val="24"/>
          <w:rtl/>
          <w:lang w:bidi="ar-DZ"/>
        </w:rPr>
        <w:t>.</w:t>
      </w:r>
    </w:p>
    <w:p w:rsidR="005A2A59" w:rsidRDefault="005A2A59" w:rsidP="005A2A59">
      <w:pPr>
        <w:pStyle w:val="Paragraphedeliste"/>
        <w:tabs>
          <w:tab w:val="right" w:pos="425"/>
          <w:tab w:val="right" w:pos="850"/>
        </w:tabs>
        <w:bidi/>
        <w:spacing w:after="0"/>
        <w:ind w:left="0" w:firstLine="851"/>
        <w:jc w:val="both"/>
        <w:rPr>
          <w:rFonts w:ascii="Simplified Arabic" w:hAnsi="Simplified Arabic" w:cs="Simplified Arabic"/>
          <w:sz w:val="28"/>
          <w:szCs w:val="28"/>
          <w:rtl/>
          <w:lang w:bidi="ar-DZ"/>
        </w:rPr>
      </w:pPr>
      <w:r w:rsidRPr="00F658D5">
        <w:rPr>
          <w:rFonts w:ascii="Simplified Arabic" w:hAnsi="Simplified Arabic" w:cs="Simplified Arabic" w:hint="cs"/>
          <w:sz w:val="28"/>
          <w:szCs w:val="28"/>
          <w:rtl/>
          <w:lang w:bidi="ar-DZ"/>
        </w:rPr>
        <w:t xml:space="preserve">كما </w:t>
      </w:r>
      <w:r>
        <w:rPr>
          <w:rFonts w:ascii="Simplified Arabic" w:hAnsi="Simplified Arabic" w:cs="Simplified Arabic" w:hint="cs"/>
          <w:sz w:val="28"/>
          <w:szCs w:val="28"/>
          <w:rtl/>
          <w:lang w:bidi="ar-DZ"/>
        </w:rPr>
        <w:t>استدلّ البعض من أنصار تمتّع حركات التّحرّر بالشّخصية القانونية الدّولية على كون الدّول تبقى ذات وجود قانوني دولي في حالة فقدانها السّيطرة على إقليمها، كما يقع أثناء الحروب وانتقال الحكومة الوطنية إلى إقليم دولة أخرى، وهو ما حدث لكثير من الحكومات الأوربية التي انتقلت إلى لندن أثناء احتلال دولها في الحرب العالمية الثّانية. وعليه يمكن اعتبار حركات التّحرّر مثل حكومات المنفى الممثّلة لشعوبها أشخاصا من أشخاص القانون الدّولي، حتى ولو لم تكن تسيطر فعليا على أقاليم دولها، حيث أنّه في حالة الاحتلال الحربييتعطّل تطبيق شرط السّيطرة الفعلية على الإقليم في الاعتراف بالشّخصية القانونية الدّولية للدّولة.</w:t>
      </w:r>
    </w:p>
    <w:p w:rsidR="005A2A59" w:rsidRDefault="005A2A59" w:rsidP="005A2A59">
      <w:pPr>
        <w:pStyle w:val="Paragraphedeliste"/>
        <w:tabs>
          <w:tab w:val="right" w:pos="425"/>
          <w:tab w:val="right" w:pos="850"/>
        </w:tabs>
        <w:bidi/>
        <w:spacing w:after="0"/>
        <w:ind w:left="0"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واقع الأمر تعزّزت وجهة النّظر هذه بما جرت عليه الممارسة الدّولية، حيث أصبحت حركات التّحرّر تدخل في علاقات مع الدّول ومع المنظّمات الدّولية العالمية، الإقليمية والمتخصّصة، وأصبح لبعضها صفة مراقب في منظّمة الأمم المتّحدة. كما أصبح من حقها الحصول على المساعدات الدّولية الإنسانية، السّياسية وحتى العسكرية من أجل الحصول على استقلالها وممارسة حقها في تقرير مصيرها.</w:t>
      </w:r>
    </w:p>
    <w:p w:rsidR="005A2A59" w:rsidRDefault="005A2A59" w:rsidP="005A2A59">
      <w:pPr>
        <w:pStyle w:val="Paragraphedeliste"/>
        <w:numPr>
          <w:ilvl w:val="0"/>
          <w:numId w:val="5"/>
        </w:numPr>
        <w:tabs>
          <w:tab w:val="right" w:pos="425"/>
          <w:tab w:val="right" w:pos="850"/>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اتّجاه تتزعّمه بعض الدّول الغربية منها الولايات المتّحدة الأمريكية ينكر أصحابه تمتّع حركات التّحرّر الوطني بالشّخصية القانونية الدّولية رغم اكتسابها لصفة مراقب في منظّمة الأمم المتّحدة، فهي تشكّل تنظيمات تسعى لتغيير الوضع القائم باستخدامها للكفاح المسلّح، ولا ترقى لأن تكون أشخاص في المجتمع الدّولي.</w:t>
      </w:r>
    </w:p>
    <w:p w:rsidR="005A2A59" w:rsidRDefault="005A2A59" w:rsidP="005A2A59">
      <w:pPr>
        <w:tabs>
          <w:tab w:val="right" w:pos="425"/>
          <w:tab w:val="right" w:pos="850"/>
        </w:tabs>
        <w:bidi/>
        <w:spacing w:after="0"/>
        <w:jc w:val="both"/>
        <w:rPr>
          <w:rFonts w:ascii="Simplified Arabic" w:hAnsi="Simplified Arabic" w:cs="Simplified Arabic"/>
          <w:b/>
          <w:bCs/>
          <w:sz w:val="28"/>
          <w:szCs w:val="28"/>
          <w:rtl/>
          <w:lang w:bidi="ar-DZ"/>
        </w:rPr>
      </w:pPr>
      <w:r w:rsidRPr="00987BAA">
        <w:rPr>
          <w:rFonts w:ascii="Simplified Arabic" w:hAnsi="Simplified Arabic" w:cs="Simplified Arabic" w:hint="cs"/>
          <w:b/>
          <w:bCs/>
          <w:sz w:val="28"/>
          <w:szCs w:val="28"/>
          <w:rtl/>
          <w:lang w:bidi="ar-DZ"/>
        </w:rPr>
        <w:t>ثالثا: الشّركات متعدّدة الجنسيات</w:t>
      </w:r>
    </w:p>
    <w:p w:rsidR="005A2A59" w:rsidRDefault="005A2A59" w:rsidP="005A2A59">
      <w:pPr>
        <w:tabs>
          <w:tab w:val="right" w:pos="425"/>
          <w:tab w:val="right" w:pos="850"/>
        </w:tabs>
        <w:bidi/>
        <w:spacing w:after="0"/>
        <w:ind w:firstLine="851"/>
        <w:jc w:val="both"/>
        <w:rPr>
          <w:rFonts w:ascii="Simplified Arabic" w:hAnsi="Simplified Arabic" w:cs="Simplified Arabic"/>
          <w:sz w:val="28"/>
          <w:szCs w:val="28"/>
          <w:rtl/>
          <w:lang w:bidi="ar-DZ"/>
        </w:rPr>
      </w:pPr>
      <w:r w:rsidRPr="000B4444">
        <w:rPr>
          <w:rFonts w:ascii="Simplified Arabic" w:hAnsi="Simplified Arabic" w:cs="Simplified Arabic" w:hint="cs"/>
          <w:sz w:val="28"/>
          <w:szCs w:val="28"/>
          <w:rtl/>
          <w:lang w:bidi="ar-DZ"/>
        </w:rPr>
        <w:t>لاتنحصر</w:t>
      </w:r>
      <w:r>
        <w:rPr>
          <w:rFonts w:ascii="Simplified Arabic" w:hAnsi="Simplified Arabic" w:cs="Simplified Arabic" w:hint="cs"/>
          <w:sz w:val="28"/>
          <w:szCs w:val="28"/>
          <w:rtl/>
          <w:lang w:bidi="ar-DZ"/>
        </w:rPr>
        <w:t xml:space="preserve"> العلاقات الدّولية في المجال السّياسي والدّبلوماسي فقط، بل إنّ لها أيضا أبعاد اقتصادية يُظهرها وجود شركات متعدّدة الجنسيات، وهي ظاهرة ارتبطت بتوسّع الرّأسمالية الدّولية، حيث نشأ هذا النّوع من الشّركات في الدّول المتقدّمة التي ترتكز في معاملاتها على اقتصاد السّوق، وتعتمد بصورة أساسية على التّصدير. وقد مكّنتها قدرتها المالية من التّأثير على العلاقات الاقتصادية الدّولية ممّا أثار الجدل حول تمتّعها بالشّخصية القانونية الدّولية. ومنه سنتطرّق فيما يلي لمفهوم الشّركات متعدّدة الجنسيات، ثم نعالج النّقاش حول مركزها القانوني في المجتمع الدّولي.</w:t>
      </w:r>
    </w:p>
    <w:p w:rsidR="005A2A59" w:rsidRDefault="005A2A59" w:rsidP="005A2A59">
      <w:pPr>
        <w:pStyle w:val="Paragraphedeliste"/>
        <w:numPr>
          <w:ilvl w:val="0"/>
          <w:numId w:val="6"/>
        </w:numPr>
        <w:tabs>
          <w:tab w:val="right" w:pos="425"/>
          <w:tab w:val="right" w:pos="850"/>
        </w:tabs>
        <w:bidi/>
        <w:spacing w:after="0"/>
        <w:ind w:hanging="72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مفهوم الشّركات متعدّدة الجنسيات:</w:t>
      </w:r>
    </w:p>
    <w:p w:rsidR="005A2A59" w:rsidRDefault="005A2A59" w:rsidP="005A2A59">
      <w:pPr>
        <w:tabs>
          <w:tab w:val="right" w:pos="425"/>
          <w:tab w:val="right" w:pos="850"/>
        </w:tabs>
        <w:bidi/>
        <w:spacing w:after="0"/>
        <w:ind w:firstLine="850"/>
        <w:jc w:val="both"/>
        <w:rPr>
          <w:rFonts w:ascii="Simplified Arabic" w:hAnsi="Simplified Arabic" w:cs="Simplified Arabic"/>
          <w:sz w:val="28"/>
          <w:szCs w:val="28"/>
          <w:rtl/>
          <w:lang w:bidi="ar-DZ"/>
        </w:rPr>
      </w:pPr>
      <w:r w:rsidRPr="00C82634">
        <w:rPr>
          <w:rFonts w:ascii="Simplified Arabic" w:hAnsi="Simplified Arabic" w:cs="Simplified Arabic" w:hint="cs"/>
          <w:sz w:val="28"/>
          <w:szCs w:val="28"/>
          <w:rtl/>
          <w:lang w:bidi="ar-DZ"/>
        </w:rPr>
        <w:t xml:space="preserve">لا </w:t>
      </w:r>
      <w:r>
        <w:rPr>
          <w:rFonts w:ascii="Simplified Arabic" w:hAnsi="Simplified Arabic" w:cs="Simplified Arabic" w:hint="cs"/>
          <w:sz w:val="28"/>
          <w:szCs w:val="28"/>
          <w:rtl/>
          <w:lang w:bidi="ar-DZ"/>
        </w:rPr>
        <w:t>يوجد تعريف واحد للشّركات متعدّدة الجنسيات، بل إنّ هذه التّسمية في حدّ ذاتها تعرّضت لانتقاد لكون هذه الشّركات لا تحمل إلّا جنسية واحدة هي جنسية الدّولة التي تتبعها، ويفضّل أصحاب هذا الانتقاد بتسميتها "</w:t>
      </w:r>
      <w:r w:rsidRPr="000739E0">
        <w:rPr>
          <w:rFonts w:ascii="Simplified Arabic" w:hAnsi="Simplified Arabic" w:cs="Simplified Arabic" w:hint="cs"/>
          <w:b/>
          <w:bCs/>
          <w:sz w:val="28"/>
          <w:szCs w:val="28"/>
          <w:rtl/>
          <w:lang w:bidi="ar-DZ"/>
        </w:rPr>
        <w:t>الشّركات عبر الوطنية</w:t>
      </w:r>
      <w:r>
        <w:rPr>
          <w:rFonts w:ascii="Simplified Arabic" w:hAnsi="Simplified Arabic" w:cs="Simplified Arabic" w:hint="cs"/>
          <w:sz w:val="28"/>
          <w:szCs w:val="28"/>
          <w:rtl/>
          <w:lang w:bidi="ar-DZ"/>
        </w:rPr>
        <w:t>"، وهناك من يعرّفها بأنّها "المؤسّسات التي يوجد مقرّها الرّئيسي في دولة معيّنة، وتمارس نشاطاتها في أكثر من دولة". وهناك من يعرّفها بأنّها "المؤسّسات التي تقوم بعمليات كبيرة ومتشعّبة جدّا في البلدان الأخرى، وتمتلك هناك طاقات إنتاجية كبيرة، وتمارس نشاطاتها في عدد من البلدان".</w:t>
      </w:r>
    </w:p>
    <w:p w:rsidR="005A2A59" w:rsidRDefault="005A2A59" w:rsidP="005A2A59">
      <w:pPr>
        <w:tabs>
          <w:tab w:val="right" w:pos="425"/>
          <w:tab w:val="right" w:pos="850"/>
        </w:tabs>
        <w:bidi/>
        <w:spacing w:after="0"/>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وأشار مؤتمر الأمم المتّحدة للتّجارة والتنمية </w:t>
      </w:r>
      <w:r w:rsidRPr="004505A5">
        <w:rPr>
          <w:rFonts w:asciiTheme="majorBidi" w:hAnsiTheme="majorBidi" w:cstheme="majorBidi"/>
          <w:sz w:val="24"/>
          <w:szCs w:val="24"/>
          <w:lang w:bidi="ar-DZ"/>
        </w:rPr>
        <w:t>CNUCED</w:t>
      </w:r>
      <w:r w:rsidRPr="004505A5">
        <w:rPr>
          <w:rFonts w:ascii="Simplified Arabic" w:hAnsi="Simplified Arabic" w:cs="Simplified Arabic"/>
          <w:sz w:val="28"/>
          <w:szCs w:val="28"/>
          <w:rtl/>
          <w:lang w:bidi="ar-DZ"/>
        </w:rPr>
        <w:t>إلى</w:t>
      </w:r>
      <w:r>
        <w:rPr>
          <w:rFonts w:ascii="Simplified Arabic" w:hAnsi="Simplified Arabic" w:cs="Simplified Arabic" w:hint="cs"/>
          <w:sz w:val="28"/>
          <w:szCs w:val="28"/>
          <w:rtl/>
          <w:lang w:bidi="ar-DZ"/>
        </w:rPr>
        <w:t xml:space="preserve"> مفهوم الشّركات متعدّدة الجنسيات بأنّها "شركة تشرف على شركة فرعية على الأقلّ موجودة في الخارج، والشّركة التّابعة (أو الفرعية) هي الشركة التي تمتلك شركتها الأم </w:t>
      </w:r>
      <w:r w:rsidRPr="004505A5">
        <w:rPr>
          <w:rFonts w:ascii="Simplified Arabic" w:hAnsi="Simplified Arabic" w:cs="Simplified Arabic" w:hint="cs"/>
          <w:sz w:val="24"/>
          <w:szCs w:val="24"/>
          <w:rtl/>
          <w:lang w:bidi="ar-DZ"/>
        </w:rPr>
        <w:t>10</w:t>
      </w:r>
      <w:r w:rsidRPr="004505A5">
        <w:rPr>
          <w:rFonts w:ascii="Simplified Arabic" w:hAnsi="Simplified Arabic" w:cs="Simplified Arabic"/>
          <w:sz w:val="24"/>
          <w:szCs w:val="24"/>
          <w:lang w:bidi="ar-DZ"/>
        </w:rPr>
        <w:t>%</w:t>
      </w:r>
      <w:r>
        <w:rPr>
          <w:rFonts w:ascii="Simplified Arabic" w:hAnsi="Simplified Arabic" w:cs="Simplified Arabic" w:hint="cs"/>
          <w:sz w:val="28"/>
          <w:szCs w:val="28"/>
          <w:rtl/>
          <w:lang w:bidi="ar-DZ"/>
        </w:rPr>
        <w:t>على الأقلّ من رأسمالها.</w:t>
      </w:r>
    </w:p>
    <w:p w:rsidR="005A2A59" w:rsidRDefault="005A2A59" w:rsidP="005A2A59">
      <w:pPr>
        <w:tabs>
          <w:tab w:val="right" w:pos="425"/>
          <w:tab w:val="right" w:pos="850"/>
        </w:tabs>
        <w:bidi/>
        <w:spacing w:after="0"/>
        <w:ind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خلال هذه التعريفات، يتّضح أنّ هناك عناصر اقتصادية وقانونية تتميّز بها الشّركات متعدّدة الجنسيات يمكن إجمالها فيما يلي:</w:t>
      </w:r>
    </w:p>
    <w:p w:rsidR="005A2A59" w:rsidRDefault="005A2A59" w:rsidP="005A2A59">
      <w:pPr>
        <w:pStyle w:val="Paragraphedeliste"/>
        <w:numPr>
          <w:ilvl w:val="0"/>
          <w:numId w:val="1"/>
        </w:numPr>
        <w:tabs>
          <w:tab w:val="right" w:pos="283"/>
          <w:tab w:val="right" w:pos="425"/>
          <w:tab w:val="right" w:pos="850"/>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كلّ شركة متعدّدة الجنسيات تشترك في تدويل الأنشطة، أي أنشطة إنتاج السّلع أو الخدمات التي تلبّي الاستخدام الأمثل لظروف الإنتاجية من يد عاملة، مواد أوّلية وسوق بهدف الرّبح المالي والتّوسّع التّجاري. ومنه فالهدف هو استغلال الموادّ الأوّلية والتّحكّم فيها ثمّ إنشاء منافذ للبيع (الأسواق) مع استهداف تقليل </w:t>
      </w:r>
      <w:r>
        <w:rPr>
          <w:rFonts w:ascii="Simplified Arabic" w:hAnsi="Simplified Arabic" w:cs="Simplified Arabic" w:hint="cs"/>
          <w:sz w:val="28"/>
          <w:szCs w:val="28"/>
          <w:rtl/>
          <w:lang w:bidi="ar-DZ"/>
        </w:rPr>
        <w:lastRenderedPageBreak/>
        <w:t>تكاليف الإنتاج على وجه الخصوص. وبالتّالي يتم استغلال الموادّ الضّرورية لإنتاج السّلع في بلدان مختلفة بغية الاستفادة من المزايا الخاصّة والتّسهيلات التي تقدّمها الدّول المُضيفة خاصّة في تكاليف العمالة ومؤهّلاتها.</w:t>
      </w:r>
    </w:p>
    <w:p w:rsidR="005A2A59" w:rsidRDefault="005A2A59" w:rsidP="005A2A59">
      <w:pPr>
        <w:pStyle w:val="Paragraphedeliste"/>
        <w:tabs>
          <w:tab w:val="right" w:pos="283"/>
          <w:tab w:val="right" w:pos="425"/>
          <w:tab w:val="right" w:pos="850"/>
        </w:tabs>
        <w:bidi/>
        <w:spacing w:after="0"/>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وبسبب التّطوّر غير المتكافئ بين الدّول، تمّ تأسيس الشّركات متعدّدة الجنسيات بشكل رئيسي في الدّول الصّناعية، ولكنّها بدأت في التّواجد في دول أوربا الشّرقية ودول العالم النّامية، ولذلك فهي ترتبط بدولة واحدة أو أكثر. وينبغي عدم خلطها مع أنواع أخرى من الشّركات، فالشّركة التي لا تملك سوى ممثّلين تجاريين في الخارج ليست شركة متعدّدة الجنسيات، إذ يجب لوصفها كذلك أن تحقّق جزءا على الأقلّ من إنتاجها خارج إقليمها الوطني التي أنشئت فيه.</w:t>
      </w:r>
    </w:p>
    <w:p w:rsidR="005A2A59" w:rsidRDefault="005A2A59" w:rsidP="005A2A59">
      <w:pPr>
        <w:pStyle w:val="Paragraphedeliste"/>
        <w:numPr>
          <w:ilvl w:val="0"/>
          <w:numId w:val="1"/>
        </w:numPr>
        <w:tabs>
          <w:tab w:val="right" w:pos="141"/>
          <w:tab w:val="right" w:pos="283"/>
          <w:tab w:val="right" w:pos="425"/>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من ناحية نظامها القانوني، فإنّه بالنّظر إلى عدم وجود قانون دولي موحّد للشّركات متعدّدة الجنسيات، فإنّ هذه الأخيرة تحمل جنسية دولة معيّنة تبعا لمكان تأسيسها، أي الدّولة التي تمّ فيها إيداع عقد التأسيس أو دولة المقرّ أو الدّولة التي تُمارس فيها الإدارة. كما أنّ لهذه الشّركات مركز إداري وحيد تصدر منه القرارات، والذي يوجد في مقرّ الشّركة الأم، أي الشّركة الأصلية التي تشرف على شبكة الفروع وتساهم في رأسمالها.</w:t>
      </w:r>
    </w:p>
    <w:p w:rsidR="005A2A59" w:rsidRDefault="005A2A59" w:rsidP="005A2A59">
      <w:pPr>
        <w:pStyle w:val="Paragraphedeliste"/>
        <w:numPr>
          <w:ilvl w:val="0"/>
          <w:numId w:val="1"/>
        </w:numPr>
        <w:tabs>
          <w:tab w:val="right" w:pos="283"/>
          <w:tab w:val="right" w:pos="425"/>
          <w:tab w:val="righ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على خلاف الشّركات الوطنية التي تخضع لنظام الدّولة الاقتصادي والاجتماعي، تتميّز الشّركات المتعدّدة الجنسيات باستراتيجية مالية ونقدية خاصّة بها.</w:t>
      </w:r>
    </w:p>
    <w:p w:rsidR="005A2A59" w:rsidRPr="00475498" w:rsidRDefault="005A2A59" w:rsidP="005A2A59">
      <w:pPr>
        <w:pStyle w:val="Paragraphedeliste"/>
        <w:numPr>
          <w:ilvl w:val="0"/>
          <w:numId w:val="6"/>
        </w:numPr>
        <w:tabs>
          <w:tab w:val="right" w:pos="425"/>
          <w:tab w:val="right" w:pos="850"/>
        </w:tabs>
        <w:bidi/>
        <w:ind w:left="0" w:firstLine="0"/>
        <w:jc w:val="both"/>
        <w:rPr>
          <w:rFonts w:ascii="Simplified Arabic" w:hAnsi="Simplified Arabic" w:cs="Simplified Arabic"/>
          <w:b/>
          <w:bCs/>
          <w:sz w:val="28"/>
          <w:szCs w:val="28"/>
          <w:lang w:bidi="ar-DZ"/>
        </w:rPr>
      </w:pPr>
      <w:r w:rsidRPr="00475498">
        <w:rPr>
          <w:rFonts w:ascii="Simplified Arabic" w:hAnsi="Simplified Arabic" w:cs="Simplified Arabic" w:hint="cs"/>
          <w:b/>
          <w:bCs/>
          <w:sz w:val="28"/>
          <w:szCs w:val="28"/>
          <w:rtl/>
          <w:lang w:bidi="ar-DZ"/>
        </w:rPr>
        <w:t xml:space="preserve">المركز القانوني للشّركات متعدّدة الجنسيات: </w:t>
      </w:r>
    </w:p>
    <w:p w:rsidR="005A2A59" w:rsidRDefault="005A2A59" w:rsidP="005A2A59">
      <w:pPr>
        <w:pStyle w:val="Paragraphedeliste"/>
        <w:tabs>
          <w:tab w:val="right" w:pos="425"/>
          <w:tab w:val="right" w:pos="850"/>
        </w:tabs>
        <w:bidi/>
        <w:ind w:left="0" w:firstLine="850"/>
        <w:jc w:val="both"/>
        <w:rPr>
          <w:rFonts w:ascii="Simplified Arabic" w:hAnsi="Simplified Arabic" w:cs="Simplified Arabic"/>
          <w:sz w:val="28"/>
          <w:szCs w:val="28"/>
          <w:rtl/>
          <w:lang w:bidi="ar-DZ"/>
        </w:rPr>
      </w:pPr>
      <w:r w:rsidRPr="0052043E">
        <w:rPr>
          <w:rFonts w:ascii="Simplified Arabic" w:hAnsi="Simplified Arabic" w:cs="Simplified Arabic" w:hint="cs"/>
          <w:sz w:val="28"/>
          <w:szCs w:val="28"/>
          <w:rtl/>
          <w:lang w:bidi="ar-DZ"/>
        </w:rPr>
        <w:t>اختلف</w:t>
      </w:r>
      <w:r>
        <w:rPr>
          <w:rFonts w:ascii="Simplified Arabic" w:hAnsi="Simplified Arabic" w:cs="Simplified Arabic" w:hint="cs"/>
          <w:sz w:val="28"/>
          <w:szCs w:val="28"/>
          <w:rtl/>
          <w:lang w:bidi="ar-DZ"/>
        </w:rPr>
        <w:t xml:space="preserve"> الفقهاء حول مسألة تمتّع الشّركات متعدّدة الجنسيات بالشّخصية القانونية الدّولية، وانقسموا بهذا الشأن إلى اتّجاهين:</w:t>
      </w:r>
    </w:p>
    <w:p w:rsidR="005A2A59" w:rsidRDefault="005A2A59" w:rsidP="005A2A59">
      <w:pPr>
        <w:pStyle w:val="Paragraphedeliste"/>
        <w:numPr>
          <w:ilvl w:val="0"/>
          <w:numId w:val="1"/>
        </w:numPr>
        <w:tabs>
          <w:tab w:val="right" w:pos="141"/>
          <w:tab w:val="right" w:pos="283"/>
          <w:tab w:val="righ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اتّجاه يؤيّد تمتّعها بالشّخصية القانونية الدّولية، ويستند في ذلك على مساهمتها في تطوير القواعد التي تخضع لها العلاقات الدّولية خاصة في المجال الاقتصادي، حيث فرضت السّياسات التي تتّبعها هذه الشّركات تبعية ملحوظة من الاقتصاديات الوطنية تجاه النّظام الاقتصادي الرّأسمالي. كماأسّس هذا الاتّجاه رأيه أيضا على كون الشّركات متعدّدة الجنسيات تتمتّع بحقوق وتخضع لالتزامات يفرضها القانون الدّولي، فمن جهة الحقوق فهي تحظى بمُكنة إبرام عقود مع الدّول، وتحلّ نزاعاتها المتعلّقة بالاستثمار باللّجوء إلى التّحكيم الدّولي. أمّا من ناحية الالتزامات فهي مُلزمة باحترام سيادة الدّولة المضيفة على ثرواتها الطّبيعية وعدم التّدخل في شؤونها الدّاخلية مثلا.</w:t>
      </w:r>
    </w:p>
    <w:p w:rsidR="005A2A59" w:rsidRDefault="005A2A59" w:rsidP="005A2A59">
      <w:pPr>
        <w:pStyle w:val="Paragraphedeliste"/>
        <w:numPr>
          <w:ilvl w:val="0"/>
          <w:numId w:val="1"/>
        </w:numPr>
        <w:tabs>
          <w:tab w:val="right" w:pos="283"/>
          <w:tab w:val="right" w:pos="425"/>
          <w:tab w:val="right" w:pos="850"/>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اتّجاه ينكر تمتّع هذه الشّركات بالشّخصية القانونية الدّولية، وهو يستند في ذلك على أنّ إنشاء هذه الكيانات يكون بموجب قوانين وطنية للدّول التي تحمل جنسيتها، فهي تخضع لرقابتها، ولا تنشأ بموجب اتّفاق أو قراردولي.</w:t>
      </w:r>
    </w:p>
    <w:p w:rsidR="005A2A59" w:rsidRPr="000739E0" w:rsidRDefault="005A2A59" w:rsidP="005A2A59">
      <w:pPr>
        <w:tabs>
          <w:tab w:val="right" w:pos="425"/>
          <w:tab w:val="right" w:pos="850"/>
        </w:tabs>
        <w:bidi/>
        <w:spacing w:after="0"/>
        <w:jc w:val="both"/>
        <w:rPr>
          <w:rFonts w:ascii="Simplified Arabic" w:hAnsi="Simplified Arabic" w:cs="Simplified Arabic"/>
          <w:b/>
          <w:bCs/>
          <w:sz w:val="28"/>
          <w:szCs w:val="28"/>
          <w:rtl/>
          <w:lang w:bidi="ar-DZ"/>
        </w:rPr>
      </w:pPr>
      <w:r w:rsidRPr="000739E0">
        <w:rPr>
          <w:rFonts w:ascii="Simplified Arabic" w:hAnsi="Simplified Arabic" w:cs="Simplified Arabic" w:hint="cs"/>
          <w:b/>
          <w:bCs/>
          <w:sz w:val="28"/>
          <w:szCs w:val="28"/>
          <w:rtl/>
          <w:lang w:bidi="ar-DZ"/>
        </w:rPr>
        <w:t>رابعا: المركز القانوني للفرد في النّظام الدّولي</w:t>
      </w:r>
    </w:p>
    <w:p w:rsidR="005A2A59" w:rsidRDefault="005A2A59" w:rsidP="005A2A59">
      <w:pPr>
        <w:pStyle w:val="Paragraphedeliste"/>
        <w:tabs>
          <w:tab w:val="right" w:pos="850"/>
          <w:tab w:val="right" w:pos="1134"/>
        </w:tabs>
        <w:bidi/>
        <w:spacing w:after="0"/>
        <w:ind w:left="0" w:firstLine="850"/>
        <w:jc w:val="both"/>
        <w:rPr>
          <w:rFonts w:ascii="Simplified Arabic" w:hAnsi="Simplified Arabic" w:cs="Simplified Arabic"/>
          <w:sz w:val="28"/>
          <w:szCs w:val="28"/>
          <w:rtl/>
          <w:lang w:bidi="ar-DZ"/>
        </w:rPr>
      </w:pPr>
      <w:r w:rsidRPr="00FE5196">
        <w:rPr>
          <w:rFonts w:ascii="Simplified Arabic" w:hAnsi="Simplified Arabic" w:cs="Simplified Arabic" w:hint="cs"/>
          <w:sz w:val="28"/>
          <w:szCs w:val="28"/>
          <w:rtl/>
          <w:lang w:bidi="ar-DZ"/>
        </w:rPr>
        <w:t xml:space="preserve">هناك </w:t>
      </w:r>
      <w:r>
        <w:rPr>
          <w:rFonts w:ascii="Simplified Arabic" w:hAnsi="Simplified Arabic" w:cs="Simplified Arabic" w:hint="cs"/>
          <w:sz w:val="28"/>
          <w:szCs w:val="28"/>
          <w:rtl/>
          <w:lang w:bidi="ar-DZ"/>
        </w:rPr>
        <w:t xml:space="preserve">جدال كلاسيكي في الفقه الدّولي يتواجه فيه أنصار النّظرية الإرادية من جهة والنّظرية التّضامنية من جهة أخرى حول الشّخصية القانونية الدّولية للفرد، فحسب المذهب الأوّل الذي يتزّعمه </w:t>
      </w:r>
      <w:r w:rsidRPr="00FE5196">
        <w:rPr>
          <w:rFonts w:asciiTheme="majorBidi" w:hAnsiTheme="majorBidi" w:cstheme="majorBidi"/>
          <w:sz w:val="28"/>
          <w:szCs w:val="28"/>
          <w:lang w:bidi="ar-DZ"/>
        </w:rPr>
        <w:t>Anzilotti</w:t>
      </w:r>
      <w:r>
        <w:rPr>
          <w:rFonts w:ascii="Simplified Arabic" w:hAnsi="Simplified Arabic" w:cs="Simplified Arabic" w:hint="cs"/>
          <w:sz w:val="28"/>
          <w:szCs w:val="28"/>
          <w:rtl/>
          <w:lang w:bidi="ar-DZ"/>
        </w:rPr>
        <w:t>يعدّ النّظام القانوني الدّولي نظاما يخصّ العلاقات التي تتمّ بين الحكومات، ممّا يترتّب عنه عدم تمتّع الأفراد بالشّخصية القانونية الدّولية. إضافة إلى أنّ حقوق الأفراد يمكن توفيرها وحمايتها في إطار النّظام القانوني الدّاخلي للدّول، وهذا ما ينطوي ضمنيا على عدم جدوى الاعتراف للأفراد بحقوق دولية.</w:t>
      </w:r>
    </w:p>
    <w:p w:rsidR="005A2A59" w:rsidRDefault="005A2A59" w:rsidP="005A2A59">
      <w:pPr>
        <w:pStyle w:val="Paragraphedeliste"/>
        <w:tabs>
          <w:tab w:val="right" w:pos="708"/>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أنصار المذهب الثّاني، وعلى رأسهم </w:t>
      </w:r>
      <w:r w:rsidRPr="005325B8">
        <w:rPr>
          <w:rFonts w:asciiTheme="majorBidi" w:hAnsiTheme="majorBidi" w:cstheme="majorBidi"/>
          <w:sz w:val="28"/>
          <w:szCs w:val="28"/>
          <w:lang w:bidi="ar-DZ"/>
        </w:rPr>
        <w:t>G.Scelle</w:t>
      </w:r>
      <w:r>
        <w:rPr>
          <w:rFonts w:asciiTheme="majorBidi" w:hAnsiTheme="majorBidi" w:cstheme="majorBidi" w:hint="cs"/>
          <w:sz w:val="28"/>
          <w:szCs w:val="28"/>
          <w:rtl/>
          <w:lang w:bidi="ar-DZ"/>
        </w:rPr>
        <w:t xml:space="preserve">، </w:t>
      </w:r>
      <w:r w:rsidRPr="005325B8">
        <w:rPr>
          <w:rFonts w:ascii="Simplified Arabic" w:hAnsi="Simplified Arabic" w:cs="Simplified Arabic"/>
          <w:sz w:val="28"/>
          <w:szCs w:val="28"/>
          <w:rtl/>
          <w:lang w:bidi="ar-DZ"/>
        </w:rPr>
        <w:t>فيؤكّدون أنّ المجتمع الدّولي هو مجتمع أفراد، وتعدّ الأشخاص الخاصّة بطبيعتها الأشخاص الخالصة للنّظام الدّولي، وتظهر الدّولة كشخص اعتباري يوجد وراء الأفراد</w:t>
      </w:r>
      <w:r>
        <w:rPr>
          <w:rFonts w:ascii="Simplified Arabic" w:hAnsi="Simplified Arabic" w:cs="Simplified Arabic" w:hint="cs"/>
          <w:sz w:val="28"/>
          <w:szCs w:val="28"/>
          <w:rtl/>
          <w:lang w:bidi="ar-DZ"/>
        </w:rPr>
        <w:t>.</w:t>
      </w:r>
    </w:p>
    <w:p w:rsidR="005A2A59" w:rsidRDefault="005A2A59" w:rsidP="005A2A59">
      <w:pPr>
        <w:pStyle w:val="Paragraphedeliste"/>
        <w:tabs>
          <w:tab w:val="right" w:pos="850"/>
          <w:tab w:val="right" w:pos="1134"/>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الواقع لا يوجد هناك شكّ في أنّ قواعد القانون الدّولي تتّجه عادة إلى الأفراد، ولا تعدّ هذه ظاهرة حديثة، إذ أنّه سبق للمحكمة الدّائمة للعدل الدّولي أن أوضحت في رأيها الاستشاري المتعلّق باختصاص المحاكم في (دانتزيغ) سنة </w:t>
      </w:r>
      <w:r w:rsidRPr="009E25A3">
        <w:rPr>
          <w:rFonts w:ascii="Simplified Arabic" w:hAnsi="Simplified Arabic" w:cs="Simplified Arabic" w:hint="cs"/>
          <w:sz w:val="24"/>
          <w:szCs w:val="24"/>
          <w:rtl/>
          <w:lang w:bidi="ar-DZ"/>
        </w:rPr>
        <w:t>1928</w:t>
      </w:r>
      <w:r>
        <w:rPr>
          <w:rFonts w:ascii="Simplified Arabic" w:hAnsi="Simplified Arabic" w:cs="Simplified Arabic" w:hint="cs"/>
          <w:sz w:val="28"/>
          <w:szCs w:val="28"/>
          <w:rtl/>
          <w:lang w:bidi="ar-DZ"/>
        </w:rPr>
        <w:t xml:space="preserve"> بأنّه يمكن للمعاهدة الدّولية أن تضع حقوقا والتزامات للأفراد تطبّقها المحاكم الوطنية. ومنه يعدّ رضا الدّولة ضروريا في الاعتراف بحقوق والتزامات الأفراد في إطار النّظام القانوني الدّولي، فمثلا لا يتمتّع الفرد بحقوق منصوص عليها في معاهدة إلّا إذا صدّقت الدّولة عليها.</w:t>
      </w:r>
    </w:p>
    <w:p w:rsidR="005A2A59" w:rsidRDefault="005A2A59" w:rsidP="005A2A59">
      <w:pPr>
        <w:pStyle w:val="Paragraphedeliste"/>
        <w:tabs>
          <w:tab w:val="right" w:pos="567"/>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ورغم هذا الاختلاف حول تمتّع الفرد بالشّخصية القانونية على المستوى الدّولي، فإنّ ما يمكن ملاحظته أنّ الفرد يظهر في النّظام الدّولي بصفته محميا أساسا ومعاقبا استثناء</w:t>
      </w:r>
    </w:p>
    <w:p w:rsidR="005A2A59" w:rsidRPr="009E25A3" w:rsidRDefault="005A2A59" w:rsidP="005A2A59">
      <w:pPr>
        <w:pStyle w:val="Paragraphedeliste"/>
        <w:numPr>
          <w:ilvl w:val="0"/>
          <w:numId w:val="7"/>
        </w:numPr>
        <w:tabs>
          <w:tab w:val="right" w:pos="283"/>
          <w:tab w:val="right" w:pos="425"/>
          <w:tab w:val="right" w:pos="567"/>
          <w:tab w:val="right" w:pos="850"/>
        </w:tabs>
        <w:bidi/>
        <w:ind w:left="0" w:firstLine="0"/>
        <w:jc w:val="both"/>
        <w:rPr>
          <w:rFonts w:ascii="Simplified Arabic" w:hAnsi="Simplified Arabic" w:cs="Simplified Arabic"/>
          <w:b/>
          <w:bCs/>
          <w:sz w:val="28"/>
          <w:szCs w:val="28"/>
          <w:lang w:bidi="ar-DZ"/>
        </w:rPr>
      </w:pPr>
      <w:r w:rsidRPr="009E25A3">
        <w:rPr>
          <w:rFonts w:ascii="Simplified Arabic" w:hAnsi="Simplified Arabic" w:cs="Simplified Arabic" w:hint="cs"/>
          <w:b/>
          <w:bCs/>
          <w:sz w:val="28"/>
          <w:szCs w:val="28"/>
          <w:rtl/>
          <w:lang w:bidi="ar-DZ"/>
        </w:rPr>
        <w:t xml:space="preserve">حماية الفرد: </w:t>
      </w:r>
      <w:r w:rsidRPr="009E25A3">
        <w:rPr>
          <w:rFonts w:ascii="Simplified Arabic" w:hAnsi="Simplified Arabic" w:cs="Simplified Arabic" w:hint="cs"/>
          <w:sz w:val="28"/>
          <w:szCs w:val="28"/>
          <w:rtl/>
          <w:lang w:bidi="ar-DZ"/>
        </w:rPr>
        <w:t xml:space="preserve">مدّالقانون </w:t>
      </w:r>
      <w:r>
        <w:rPr>
          <w:rFonts w:ascii="Simplified Arabic" w:hAnsi="Simplified Arabic" w:cs="Simplified Arabic" w:hint="cs"/>
          <w:sz w:val="28"/>
          <w:szCs w:val="28"/>
          <w:rtl/>
          <w:lang w:bidi="ar-DZ"/>
        </w:rPr>
        <w:t>الدّولي الكلاسيكي حمايته لتشمل بعض الأفراد المحرومين خاصّة، ثمّ وسّع حديثا حمايته لمجموع الأفراد في إطار ما يُعرف بالحماية الدّولية لحقوق الإنسان:</w:t>
      </w:r>
    </w:p>
    <w:p w:rsidR="005A2A59" w:rsidRPr="00F6690C" w:rsidRDefault="005A2A59" w:rsidP="005A2A59">
      <w:pPr>
        <w:pStyle w:val="Paragraphedeliste"/>
        <w:numPr>
          <w:ilvl w:val="0"/>
          <w:numId w:val="8"/>
        </w:numPr>
        <w:tabs>
          <w:tab w:val="right" w:pos="425"/>
          <w:tab w:val="right" w:pos="850"/>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الحماية الكلاسيكية، </w:t>
      </w:r>
      <w:r w:rsidRPr="00F6690C">
        <w:rPr>
          <w:rFonts w:ascii="Simplified Arabic" w:hAnsi="Simplified Arabic" w:cs="Simplified Arabic" w:hint="cs"/>
          <w:sz w:val="28"/>
          <w:szCs w:val="28"/>
          <w:rtl/>
          <w:lang w:bidi="ar-DZ"/>
        </w:rPr>
        <w:t>وتتعلّق</w:t>
      </w:r>
      <w:r>
        <w:rPr>
          <w:rFonts w:ascii="Simplified Arabic" w:hAnsi="Simplified Arabic" w:cs="Simplified Arabic" w:hint="cs"/>
          <w:sz w:val="28"/>
          <w:szCs w:val="28"/>
          <w:rtl/>
          <w:lang w:bidi="ar-DZ"/>
        </w:rPr>
        <w:t>بحماية فئات معيّنة تتمثّل في:</w:t>
      </w:r>
    </w:p>
    <w:p w:rsidR="005A2A59" w:rsidRDefault="005A2A59" w:rsidP="005A2A59">
      <w:pPr>
        <w:pStyle w:val="Paragraphedeliste"/>
        <w:numPr>
          <w:ilvl w:val="0"/>
          <w:numId w:val="1"/>
        </w:numPr>
        <w:tabs>
          <w:tab w:val="right" w:pos="-142"/>
          <w:tab w:val="right" w:pos="283"/>
          <w:tab w:val="right" w:pos="425"/>
        </w:tabs>
        <w:bidi/>
        <w:ind w:left="0" w:firstLine="0"/>
        <w:jc w:val="both"/>
        <w:rPr>
          <w:rFonts w:ascii="Simplified Arabic" w:hAnsi="Simplified Arabic" w:cs="Simplified Arabic"/>
          <w:sz w:val="28"/>
          <w:szCs w:val="28"/>
          <w:lang w:bidi="ar-DZ"/>
        </w:rPr>
      </w:pPr>
      <w:r w:rsidRPr="00F6690C">
        <w:rPr>
          <w:rFonts w:ascii="Simplified Arabic" w:hAnsi="Simplified Arabic" w:cs="Simplified Arabic" w:hint="cs"/>
          <w:sz w:val="28"/>
          <w:szCs w:val="28"/>
          <w:rtl/>
          <w:lang w:bidi="ar-DZ"/>
        </w:rPr>
        <w:t>حماية عديمي الجنسية</w:t>
      </w:r>
      <w:r>
        <w:rPr>
          <w:rFonts w:ascii="Simplified Arabic" w:hAnsi="Simplified Arabic" w:cs="Simplified Arabic" w:hint="cs"/>
          <w:sz w:val="28"/>
          <w:szCs w:val="28"/>
          <w:rtl/>
          <w:lang w:bidi="ar-DZ"/>
        </w:rPr>
        <w:t xml:space="preserve">، حيث تعطي اتّفاقية نيويورك لسنة </w:t>
      </w:r>
      <w:r w:rsidRPr="00FB1E42">
        <w:rPr>
          <w:rFonts w:ascii="Simplified Arabic" w:hAnsi="Simplified Arabic" w:cs="Simplified Arabic" w:hint="cs"/>
          <w:sz w:val="24"/>
          <w:szCs w:val="24"/>
          <w:rtl/>
          <w:lang w:bidi="ar-DZ"/>
        </w:rPr>
        <w:t>1954</w:t>
      </w:r>
      <w:r>
        <w:rPr>
          <w:rFonts w:ascii="Simplified Arabic" w:hAnsi="Simplified Arabic" w:cs="Simplified Arabic" w:hint="cs"/>
          <w:sz w:val="28"/>
          <w:szCs w:val="28"/>
          <w:rtl/>
          <w:lang w:bidi="ar-DZ"/>
        </w:rPr>
        <w:t xml:space="preserve"> لهم نظاما قانونيا يماثل النّظام الذي يستفيد منه الأجانب في الدّولة المضيفة المتواجدين بها.</w:t>
      </w:r>
    </w:p>
    <w:p w:rsidR="005A2A59" w:rsidRDefault="005A2A59" w:rsidP="005A2A59">
      <w:pPr>
        <w:pStyle w:val="Paragraphedeliste"/>
        <w:numPr>
          <w:ilvl w:val="0"/>
          <w:numId w:val="1"/>
        </w:numPr>
        <w:tabs>
          <w:tab w:val="right" w:pos="-142"/>
          <w:tab w:val="right" w:pos="283"/>
          <w:tab w:val="right" w:pos="425"/>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حماية اللّاجئين، حيث تعطي اتّفاقية جنيف لسنة </w:t>
      </w:r>
      <w:r w:rsidRPr="00FB1E42">
        <w:rPr>
          <w:rFonts w:ascii="Simplified Arabic" w:hAnsi="Simplified Arabic" w:cs="Simplified Arabic" w:hint="cs"/>
          <w:sz w:val="24"/>
          <w:szCs w:val="24"/>
          <w:rtl/>
          <w:lang w:bidi="ar-DZ"/>
        </w:rPr>
        <w:t>1951</w:t>
      </w:r>
      <w:r>
        <w:rPr>
          <w:rFonts w:ascii="Simplified Arabic" w:hAnsi="Simplified Arabic" w:cs="Simplified Arabic" w:hint="cs"/>
          <w:sz w:val="28"/>
          <w:szCs w:val="28"/>
          <w:rtl/>
          <w:lang w:bidi="ar-DZ"/>
        </w:rPr>
        <w:t xml:space="preserve"> للّاجئين حقوقا مساوية لحقوق المواطنين في مجالات معيّنة مثل التّعليم أو الصّحة أو العمل، كما توجد هناك مفوضية عليا للأمم المتّحدة تسهر على مراقبة احترام الحقوق الدّولية المعترف بها للّاجئين.</w:t>
      </w:r>
    </w:p>
    <w:p w:rsidR="005A2A59" w:rsidRDefault="005A2A59" w:rsidP="005A2A59">
      <w:pPr>
        <w:pStyle w:val="Paragraphedeliste"/>
        <w:numPr>
          <w:ilvl w:val="0"/>
          <w:numId w:val="1"/>
        </w:numPr>
        <w:tabs>
          <w:tab w:val="right" w:pos="-142"/>
          <w:tab w:val="right" w:pos="283"/>
          <w:tab w:val="right" w:pos="425"/>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حماية الأقلّيات، حيث بدأ القانون الدّولي أوّلا بحماية مجموعة من الأفراد الذين وُجِدوا في دول تغيّرت حدودها نتيجة نزاعات مسلّحة، وتتعلّق هذه الحماية بالاعتراف لهم بالمحافظة على هوّيتهم كجماعة واحدة، وهذا ما كان عليه الحال بعد الحرب العالمية الأولى بإنشاء محاكم التّحكيم المختلطة، والتي مكّنت للأفراد أن يدافعوا عن استعمال لغتهم الأم وعن حرّية ممارسة شعائرهم الدّينية. أمّا حديثا فقد تمّ تكريس حماية الأقلّيات في أوربا، وخاصّة في إطار مجلس أوربا حيث تمّ اعتماد الميثاق الأوربي للّغات الإقليمية والأقلّيات سنة </w:t>
      </w:r>
      <w:r w:rsidRPr="00FB1E42">
        <w:rPr>
          <w:rFonts w:ascii="Simplified Arabic" w:hAnsi="Simplified Arabic" w:cs="Simplified Arabic" w:hint="cs"/>
          <w:sz w:val="24"/>
          <w:szCs w:val="24"/>
          <w:rtl/>
          <w:lang w:bidi="ar-DZ"/>
        </w:rPr>
        <w:t>1992</w:t>
      </w:r>
      <w:r>
        <w:rPr>
          <w:rFonts w:ascii="Simplified Arabic" w:hAnsi="Simplified Arabic" w:cs="Simplified Arabic" w:hint="cs"/>
          <w:sz w:val="28"/>
          <w:szCs w:val="28"/>
          <w:rtl/>
          <w:lang w:bidi="ar-DZ"/>
        </w:rPr>
        <w:t>.</w:t>
      </w:r>
    </w:p>
    <w:p w:rsidR="005A2A59" w:rsidRPr="00281F3E" w:rsidRDefault="005A2A59" w:rsidP="005A2A59">
      <w:pPr>
        <w:pStyle w:val="Paragraphedeliste"/>
        <w:numPr>
          <w:ilvl w:val="0"/>
          <w:numId w:val="8"/>
        </w:numPr>
        <w:tabs>
          <w:tab w:val="right" w:pos="283"/>
          <w:tab w:val="right" w:pos="425"/>
          <w:tab w:val="right" w:pos="850"/>
        </w:tabs>
        <w:bidi/>
        <w:ind w:left="0" w:firstLine="0"/>
        <w:jc w:val="both"/>
        <w:rPr>
          <w:rFonts w:ascii="Simplified Arabic" w:hAnsi="Simplified Arabic" w:cs="Simplified Arabic"/>
          <w:b/>
          <w:bCs/>
          <w:sz w:val="28"/>
          <w:szCs w:val="28"/>
          <w:lang w:bidi="ar-DZ"/>
        </w:rPr>
      </w:pPr>
      <w:r w:rsidRPr="00FB1E42">
        <w:rPr>
          <w:rFonts w:ascii="Simplified Arabic" w:hAnsi="Simplified Arabic" w:cs="Simplified Arabic" w:hint="cs"/>
          <w:b/>
          <w:bCs/>
          <w:sz w:val="28"/>
          <w:szCs w:val="28"/>
          <w:rtl/>
          <w:lang w:bidi="ar-DZ"/>
        </w:rPr>
        <w:t>ال</w:t>
      </w:r>
      <w:r>
        <w:rPr>
          <w:rFonts w:ascii="Simplified Arabic" w:hAnsi="Simplified Arabic" w:cs="Simplified Arabic" w:hint="cs"/>
          <w:b/>
          <w:bCs/>
          <w:sz w:val="28"/>
          <w:szCs w:val="28"/>
          <w:rtl/>
          <w:lang w:bidi="ar-DZ"/>
        </w:rPr>
        <w:t xml:space="preserve">حماية الدّولية لحقوق الإنسان، </w:t>
      </w:r>
      <w:r>
        <w:rPr>
          <w:rFonts w:ascii="Simplified Arabic" w:hAnsi="Simplified Arabic" w:cs="Simplified Arabic" w:hint="cs"/>
          <w:sz w:val="28"/>
          <w:szCs w:val="28"/>
          <w:rtl/>
          <w:lang w:bidi="ar-DZ"/>
        </w:rPr>
        <w:t xml:space="preserve">وتمّ تكريسها عن طريق الإعلان العالمي لحقوق الإنسان في </w:t>
      </w:r>
      <w:r w:rsidRPr="00281F3E">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ديسمبر </w:t>
      </w:r>
      <w:r w:rsidRPr="00281F3E">
        <w:rPr>
          <w:rFonts w:ascii="Simplified Arabic" w:hAnsi="Simplified Arabic" w:cs="Simplified Arabic" w:hint="cs"/>
          <w:sz w:val="24"/>
          <w:szCs w:val="24"/>
          <w:rtl/>
          <w:lang w:bidi="ar-DZ"/>
        </w:rPr>
        <w:t>1948</w:t>
      </w:r>
      <w:r>
        <w:rPr>
          <w:rFonts w:ascii="Simplified Arabic" w:hAnsi="Simplified Arabic" w:cs="Simplified Arabic" w:hint="cs"/>
          <w:sz w:val="28"/>
          <w:szCs w:val="28"/>
          <w:rtl/>
          <w:lang w:bidi="ar-DZ"/>
        </w:rPr>
        <w:t xml:space="preserve"> الذي نصّ على حماية الفرد ليس باعتباره مواطنا في دولة، ولكن باعتباره كائنا بشريا. ولكن ليس لهذا الإعلان سوى قيمة قانونية ضعيفة، فهو ليس معاهدة بل مجرّد مبادئ معتمدة من طرف الأمم المتّحدة لا تُلزم الدّول.</w:t>
      </w:r>
    </w:p>
    <w:p w:rsidR="005A2A59" w:rsidRDefault="005A2A59" w:rsidP="005A2A59">
      <w:pPr>
        <w:pStyle w:val="Paragraphedeliste"/>
        <w:tabs>
          <w:tab w:val="right" w:pos="0"/>
          <w:tab w:val="right" w:pos="425"/>
          <w:tab w:val="right" w:pos="850"/>
        </w:tabs>
        <w:bidi/>
        <w:ind w:left="0" w:firstLine="850"/>
        <w:jc w:val="both"/>
        <w:rPr>
          <w:rFonts w:ascii="Simplified Arabic" w:hAnsi="Simplified Arabic" w:cs="Simplified Arabic"/>
          <w:sz w:val="28"/>
          <w:szCs w:val="28"/>
          <w:rtl/>
          <w:lang w:bidi="ar-DZ"/>
        </w:rPr>
      </w:pPr>
      <w:r w:rsidRPr="00281F3E">
        <w:rPr>
          <w:rFonts w:ascii="Simplified Arabic" w:hAnsi="Simplified Arabic" w:cs="Simplified Arabic" w:hint="cs"/>
          <w:sz w:val="28"/>
          <w:szCs w:val="28"/>
          <w:rtl/>
          <w:lang w:bidi="ar-DZ"/>
        </w:rPr>
        <w:t xml:space="preserve">وفي </w:t>
      </w:r>
      <w:r>
        <w:rPr>
          <w:rFonts w:ascii="Simplified Arabic" w:hAnsi="Simplified Arabic" w:cs="Simplified Arabic" w:hint="cs"/>
          <w:sz w:val="28"/>
          <w:szCs w:val="28"/>
          <w:rtl/>
          <w:lang w:bidi="ar-DZ"/>
        </w:rPr>
        <w:t>الواقع هناك عائقان يعرقلان الحماية الدّولية لحقوق الإنسان: الأوّل يتمثّل في مبدأ سيادة الدّول الذي يقتضي رضا الدّولة ويعتبره ضروريا لإدراج قواعد ذات مصدر دولي في القانون الدّاخلي، والثّاني يتمثّل في عدم وجود تعريفات عالمية لكلّ الحقوق، فمثلا مفهوم حرية المعتقد  غير موّحد بين المنظور الغربي والمنظور الشّرقي.</w:t>
      </w:r>
    </w:p>
    <w:p w:rsidR="005A2A59" w:rsidRDefault="005A2A59" w:rsidP="005A2A59">
      <w:pPr>
        <w:pStyle w:val="Paragraphedeliste"/>
        <w:tabs>
          <w:tab w:val="right" w:pos="0"/>
          <w:tab w:val="right" w:pos="425"/>
          <w:tab w:val="right" w:pos="850"/>
        </w:tabs>
        <w:bidi/>
        <w:ind w:left="0" w:firstLine="8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ويلاحظ أنّه رغم غزارة النّصوص الدّولية المتعلّقة بحماية حقوق الإنسان من حقوق الجيل الأوّل (الحقوق المدنية والسّياسية) إلى حقوق الجيل الثّاني (الحقوق الاقتصادية والاجتماعية والثّقافية) وحقوق الجيل الثّالث (مثل الحق في التّنمية) إلّا أنّ هذه الحماية لم تعط للفرد شخصية دولية كاملة، لأنّ الشّخص الطّبيعي لا يمكنه أن يطالب مباشرة بالحقوق الممنوحة له على المستوى الدّولي، إذ أنّ إخطار المحاكم الدّولية يبقى دائما حكرا على الدّولة، فضلا عن أنّ منح هذه الحقوق للمواطنين تتطلّب إظهار اعتراف الدّول بها عن طريق التّصديق على المعاهدات التي تتضمّنها.</w:t>
      </w:r>
    </w:p>
    <w:p w:rsidR="005A2A59" w:rsidRDefault="005A2A59" w:rsidP="005A2A59">
      <w:pPr>
        <w:pStyle w:val="Paragraphedeliste"/>
        <w:numPr>
          <w:ilvl w:val="0"/>
          <w:numId w:val="7"/>
        </w:numPr>
        <w:tabs>
          <w:tab w:val="right" w:pos="0"/>
          <w:tab w:val="right" w:pos="425"/>
          <w:tab w:val="right" w:pos="850"/>
        </w:tabs>
        <w:bidi/>
        <w:ind w:left="0" w:firstLine="0"/>
        <w:jc w:val="both"/>
        <w:rPr>
          <w:rFonts w:ascii="Simplified Arabic" w:hAnsi="Simplified Arabic" w:cs="Simplified Arabic"/>
          <w:sz w:val="28"/>
          <w:szCs w:val="28"/>
          <w:lang w:bidi="ar-DZ"/>
        </w:rPr>
      </w:pPr>
      <w:r w:rsidRPr="001B165F">
        <w:rPr>
          <w:rFonts w:ascii="Simplified Arabic" w:hAnsi="Simplified Arabic" w:cs="Simplified Arabic" w:hint="cs"/>
          <w:b/>
          <w:bCs/>
          <w:sz w:val="28"/>
          <w:szCs w:val="28"/>
          <w:rtl/>
          <w:lang w:bidi="ar-DZ"/>
        </w:rPr>
        <w:t>معاقبة الفرد</w:t>
      </w:r>
      <w:r>
        <w:rPr>
          <w:rFonts w:ascii="Simplified Arabic" w:hAnsi="Simplified Arabic" w:cs="Simplified Arabic" w:hint="cs"/>
          <w:sz w:val="28"/>
          <w:szCs w:val="28"/>
          <w:rtl/>
          <w:lang w:bidi="ar-DZ"/>
        </w:rPr>
        <w:t xml:space="preserve">: يعود عقاب الفرد عن ارتكابه للجرائم الدّولية أساسا للدّول وفق قوانينها الدّاخلية. لكن اهتمّ المجتمع الدّولي بمسألة تأسيس محكمة دولية للعقاب عن هذه الجرائم منذ نهاية القرن التاسع عشر، وقد ظهرت ملامح هذه المحاولات بعد انتهاء الحرب العالمية الأولى في اتّفاقية فرساي سنة 1919 التي </w:t>
      </w:r>
      <w:r>
        <w:rPr>
          <w:rFonts w:ascii="Simplified Arabic" w:hAnsi="Simplified Arabic" w:cs="Simplified Arabic" w:hint="cs"/>
          <w:sz w:val="28"/>
          <w:szCs w:val="28"/>
          <w:rtl/>
          <w:lang w:bidi="ar-DZ"/>
        </w:rPr>
        <w:lastRenderedPageBreak/>
        <w:t>نصّتعلى محاكمة الأشخاص المتّهمين بارتكاب أفعال مخالفة لقوانين وأعراف الحرب أمام محاكم الحلفاء العسكرية، وعلى إنشاء محكمة خاصة بمحاكمة امبراطور ألمانيا، لكن بقي النّص حبرا على ورق لرفض هولندة تسليم الإمبراطور الذي لجأ إليها بحجّة أنّ الاتّهام كان سياسيا. ثمّ كانت المحاولة الثّانية بعد الحرب العالمية الثّانية، حيث تمّت فيها المحاكمات المشهورة باسم محاكمات نورمبورغ وطوكيو، لكن واجهت العديد من الانتقادات القانونية باعتبارها كانت تعبّر عن "عدالة المنتصرين".</w:t>
      </w:r>
    </w:p>
    <w:p w:rsidR="005A2A59" w:rsidRDefault="005A2A59" w:rsidP="005A2A59">
      <w:pPr>
        <w:pStyle w:val="Paragraphedeliste"/>
        <w:tabs>
          <w:tab w:val="right" w:pos="0"/>
          <w:tab w:val="right" w:pos="425"/>
          <w:tab w:val="right" w:pos="850"/>
          <w:tab w:val="right" w:pos="4394"/>
        </w:tabs>
        <w:bidi/>
        <w:ind w:left="0" w:firstLine="850"/>
        <w:jc w:val="both"/>
        <w:rPr>
          <w:rFonts w:ascii="Simplified Arabic" w:hAnsi="Simplified Arabic" w:cs="Simplified Arabic"/>
          <w:sz w:val="28"/>
          <w:szCs w:val="28"/>
          <w:rtl/>
          <w:lang w:bidi="ar-DZ"/>
        </w:rPr>
      </w:pPr>
      <w:r w:rsidRPr="00F628F3">
        <w:rPr>
          <w:rFonts w:ascii="Simplified Arabic" w:hAnsi="Simplified Arabic" w:cs="Simplified Arabic" w:hint="cs"/>
          <w:sz w:val="28"/>
          <w:szCs w:val="28"/>
          <w:rtl/>
          <w:lang w:bidi="ar-DZ"/>
        </w:rPr>
        <w:t xml:space="preserve">أمّا </w:t>
      </w:r>
      <w:r>
        <w:rPr>
          <w:rFonts w:ascii="Simplified Arabic" w:hAnsi="Simplified Arabic" w:cs="Simplified Arabic" w:hint="cs"/>
          <w:sz w:val="28"/>
          <w:szCs w:val="28"/>
          <w:rtl/>
          <w:lang w:bidi="ar-DZ"/>
        </w:rPr>
        <w:t xml:space="preserve">بعد الحرب الباردة فقد أخذت معاقبة الأفراد على المستوى الدّولي تطوّرا ملحوظا تجسّد في إنشاء محاكم جنائية دولية خاصّة بموجب قرارات مجلس الأمن على غرار المحكمة الجنائية الدّولية ليوغسلافيا السّابقة (القراران </w:t>
      </w:r>
      <w:r w:rsidRPr="009B0BF9">
        <w:rPr>
          <w:rFonts w:ascii="Simplified Arabic" w:hAnsi="Simplified Arabic" w:cs="Simplified Arabic" w:hint="cs"/>
          <w:sz w:val="24"/>
          <w:szCs w:val="24"/>
          <w:rtl/>
          <w:lang w:bidi="ar-DZ"/>
        </w:rPr>
        <w:t>808</w:t>
      </w:r>
      <w:r>
        <w:rPr>
          <w:rFonts w:ascii="Simplified Arabic" w:hAnsi="Simplified Arabic" w:cs="Simplified Arabic" w:hint="cs"/>
          <w:sz w:val="28"/>
          <w:szCs w:val="28"/>
          <w:rtl/>
          <w:lang w:bidi="ar-DZ"/>
        </w:rPr>
        <w:t xml:space="preserve"> و</w:t>
      </w:r>
      <w:r w:rsidRPr="009B0BF9">
        <w:rPr>
          <w:rFonts w:ascii="Simplified Arabic" w:hAnsi="Simplified Arabic" w:cs="Simplified Arabic" w:hint="cs"/>
          <w:sz w:val="24"/>
          <w:szCs w:val="24"/>
          <w:rtl/>
          <w:lang w:bidi="ar-DZ"/>
        </w:rPr>
        <w:t>827</w:t>
      </w:r>
      <w:r>
        <w:rPr>
          <w:rFonts w:ascii="Simplified Arabic" w:hAnsi="Simplified Arabic" w:cs="Simplified Arabic" w:hint="cs"/>
          <w:sz w:val="28"/>
          <w:szCs w:val="28"/>
          <w:rtl/>
          <w:lang w:bidi="ar-DZ"/>
        </w:rPr>
        <w:t xml:space="preserve"> سنة </w:t>
      </w:r>
      <w:r w:rsidRPr="009B0BF9">
        <w:rPr>
          <w:rFonts w:ascii="Simplified Arabic" w:hAnsi="Simplified Arabic" w:cs="Simplified Arabic" w:hint="cs"/>
          <w:sz w:val="24"/>
          <w:szCs w:val="24"/>
          <w:rtl/>
          <w:lang w:bidi="ar-DZ"/>
        </w:rPr>
        <w:t>1993</w:t>
      </w:r>
      <w:r>
        <w:rPr>
          <w:rFonts w:ascii="Simplified Arabic" w:hAnsi="Simplified Arabic" w:cs="Simplified Arabic" w:hint="cs"/>
          <w:sz w:val="28"/>
          <w:szCs w:val="28"/>
          <w:rtl/>
          <w:lang w:bidi="ar-DZ"/>
        </w:rPr>
        <w:t>) والمحكمة الجنائية الدّولية الخاصّة برواندا (</w:t>
      </w:r>
      <w:r w:rsidRPr="009B0BF9">
        <w:rPr>
          <w:rFonts w:ascii="Simplified Arabic" w:hAnsi="Simplified Arabic" w:cs="Simplified Arabic" w:hint="cs"/>
          <w:sz w:val="24"/>
          <w:szCs w:val="24"/>
          <w:rtl/>
          <w:lang w:bidi="ar-DZ"/>
        </w:rPr>
        <w:t>955</w:t>
      </w:r>
      <w:r>
        <w:rPr>
          <w:rFonts w:ascii="Simplified Arabic" w:hAnsi="Simplified Arabic" w:cs="Simplified Arabic" w:hint="cs"/>
          <w:sz w:val="28"/>
          <w:szCs w:val="28"/>
          <w:rtl/>
          <w:lang w:bidi="ar-DZ"/>
        </w:rPr>
        <w:t xml:space="preserve"> سنة </w:t>
      </w:r>
      <w:r w:rsidRPr="009B0BF9">
        <w:rPr>
          <w:rFonts w:ascii="Simplified Arabic" w:hAnsi="Simplified Arabic" w:cs="Simplified Arabic" w:hint="cs"/>
          <w:sz w:val="24"/>
          <w:szCs w:val="24"/>
          <w:rtl/>
          <w:lang w:bidi="ar-DZ"/>
        </w:rPr>
        <w:t>1994</w:t>
      </w:r>
      <w:r>
        <w:rPr>
          <w:rFonts w:ascii="Simplified Arabic" w:hAnsi="Simplified Arabic" w:cs="Simplified Arabic" w:hint="cs"/>
          <w:sz w:val="28"/>
          <w:szCs w:val="28"/>
          <w:rtl/>
          <w:lang w:bidi="ar-DZ"/>
        </w:rPr>
        <w:t>)، كما نجحت الجماعة الدّولية في اعتماد اتّفاقية تنشئ محكمة جنائية دولية دائمة في</w:t>
      </w:r>
      <w:r w:rsidRPr="00672CC2">
        <w:rPr>
          <w:rFonts w:ascii="Simplified Arabic" w:hAnsi="Simplified Arabic" w:cs="Simplified Arabic" w:hint="cs"/>
          <w:sz w:val="24"/>
          <w:szCs w:val="24"/>
          <w:rtl/>
          <w:lang w:bidi="ar-DZ"/>
        </w:rPr>
        <w:t>17</w:t>
      </w:r>
      <w:r>
        <w:rPr>
          <w:rFonts w:ascii="Simplified Arabic" w:hAnsi="Simplified Arabic" w:cs="Simplified Arabic" w:hint="cs"/>
          <w:sz w:val="28"/>
          <w:szCs w:val="28"/>
          <w:rtl/>
          <w:lang w:bidi="ar-DZ"/>
        </w:rPr>
        <w:t xml:space="preserve"> جويلية </w:t>
      </w:r>
      <w:r w:rsidRPr="009B0BF9">
        <w:rPr>
          <w:rFonts w:ascii="Simplified Arabic" w:hAnsi="Simplified Arabic" w:cs="Simplified Arabic" w:hint="cs"/>
          <w:sz w:val="24"/>
          <w:szCs w:val="24"/>
          <w:rtl/>
          <w:lang w:bidi="ar-DZ"/>
        </w:rPr>
        <w:t>1998</w:t>
      </w:r>
      <w:r>
        <w:rPr>
          <w:rFonts w:ascii="Simplified Arabic" w:hAnsi="Simplified Arabic" w:cs="Simplified Arabic" w:hint="cs"/>
          <w:sz w:val="28"/>
          <w:szCs w:val="28"/>
          <w:rtl/>
          <w:lang w:bidi="ar-DZ"/>
        </w:rPr>
        <w:t xml:space="preserve">، والتي دخلت حيّز النّفاذ في الفاتح من جويلية سنة </w:t>
      </w:r>
      <w:r w:rsidRPr="009B0BF9">
        <w:rPr>
          <w:rFonts w:ascii="Simplified Arabic" w:hAnsi="Simplified Arabic" w:cs="Simplified Arabic" w:hint="cs"/>
          <w:sz w:val="24"/>
          <w:szCs w:val="24"/>
          <w:rtl/>
          <w:lang w:bidi="ar-DZ"/>
        </w:rPr>
        <w:t>2002</w:t>
      </w:r>
      <w:r>
        <w:rPr>
          <w:rFonts w:ascii="Simplified Arabic" w:hAnsi="Simplified Arabic" w:cs="Simplified Arabic" w:hint="cs"/>
          <w:sz w:val="28"/>
          <w:szCs w:val="28"/>
          <w:rtl/>
          <w:lang w:bidi="ar-DZ"/>
        </w:rPr>
        <w:t>.</w:t>
      </w:r>
    </w:p>
    <w:p w:rsidR="005101FD" w:rsidRPr="005A2A59" w:rsidRDefault="005101FD" w:rsidP="005A2A59">
      <w:pPr>
        <w:bidi/>
        <w:jc w:val="both"/>
        <w:rPr>
          <w:rFonts w:ascii="Simplified Arabic" w:hAnsi="Simplified Arabic" w:cs="Simplified Arabic" w:hint="cs"/>
          <w:sz w:val="28"/>
          <w:szCs w:val="28"/>
          <w:lang w:bidi="ar-DZ"/>
        </w:rPr>
      </w:pPr>
    </w:p>
    <w:sectPr w:rsidR="005101FD" w:rsidRPr="005A2A59" w:rsidSect="005101F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A42" w:rsidRDefault="00C10A42" w:rsidP="005A2A59">
      <w:pPr>
        <w:spacing w:after="0" w:line="240" w:lineRule="auto"/>
      </w:pPr>
      <w:r>
        <w:separator/>
      </w:r>
    </w:p>
  </w:endnote>
  <w:endnote w:type="continuationSeparator" w:id="1">
    <w:p w:rsidR="00C10A42" w:rsidRDefault="00C10A42" w:rsidP="005A2A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59" w:rsidRDefault="005A2A5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645"/>
      <w:docPartObj>
        <w:docPartGallery w:val="Page Numbers (Bottom of Page)"/>
        <w:docPartUnique/>
      </w:docPartObj>
    </w:sdtPr>
    <w:sdtContent>
      <w:p w:rsidR="005A2A59" w:rsidRDefault="005A2A59">
        <w:pPr>
          <w:pStyle w:val="Pieddepage"/>
        </w:pPr>
        <w:r>
          <w:ptab w:relativeTo="indent" w:alignment="center" w:leader="none"/>
        </w:r>
        <w:fldSimple w:instr=" PAGE   \* MERGEFORMAT ">
          <w:r>
            <w:rPr>
              <w:noProof/>
            </w:rPr>
            <w:t>6</w:t>
          </w:r>
        </w:fldSimple>
      </w:p>
    </w:sdtContent>
  </w:sdt>
  <w:p w:rsidR="005A2A59" w:rsidRDefault="005A2A5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59" w:rsidRDefault="005A2A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A42" w:rsidRDefault="00C10A42" w:rsidP="005A2A59">
      <w:pPr>
        <w:spacing w:after="0" w:line="240" w:lineRule="auto"/>
      </w:pPr>
      <w:r>
        <w:separator/>
      </w:r>
    </w:p>
  </w:footnote>
  <w:footnote w:type="continuationSeparator" w:id="1">
    <w:p w:rsidR="00C10A42" w:rsidRDefault="00C10A42" w:rsidP="005A2A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59" w:rsidRDefault="005A2A5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59" w:rsidRDefault="005A2A5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59" w:rsidRDefault="005A2A5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30B03"/>
    <w:multiLevelType w:val="hybridMultilevel"/>
    <w:tmpl w:val="F9D27CCC"/>
    <w:lvl w:ilvl="0" w:tplc="2BBE6BD2">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nsid w:val="245E5EFC"/>
    <w:multiLevelType w:val="hybridMultilevel"/>
    <w:tmpl w:val="386E5D0C"/>
    <w:lvl w:ilvl="0" w:tplc="E0164916">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A1F1E3E"/>
    <w:multiLevelType w:val="hybridMultilevel"/>
    <w:tmpl w:val="037A9BD2"/>
    <w:lvl w:ilvl="0" w:tplc="6D72149C">
      <w:start w:val="1"/>
      <w:numFmt w:val="decimal"/>
      <w:lvlText w:val="%1-"/>
      <w:lvlJc w:val="left"/>
      <w:pPr>
        <w:ind w:left="1920" w:hanging="360"/>
      </w:pPr>
      <w:rPr>
        <w:rFonts w:hint="default"/>
        <w:b/>
        <w:bCs/>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3">
    <w:nsid w:val="2B977563"/>
    <w:multiLevelType w:val="hybridMultilevel"/>
    <w:tmpl w:val="1FAA1962"/>
    <w:lvl w:ilvl="0" w:tplc="9F7000C6">
      <w:start w:val="1"/>
      <w:numFmt w:val="decimal"/>
      <w:lvlText w:val="%1-"/>
      <w:lvlJc w:val="left"/>
      <w:pPr>
        <w:ind w:left="3904" w:hanging="360"/>
      </w:pPr>
      <w:rPr>
        <w:rFonts w:hint="default"/>
      </w:rPr>
    </w:lvl>
    <w:lvl w:ilvl="1" w:tplc="040C0019" w:tentative="1">
      <w:start w:val="1"/>
      <w:numFmt w:val="lowerLetter"/>
      <w:lvlText w:val="%2."/>
      <w:lvlJc w:val="left"/>
      <w:pPr>
        <w:ind w:left="1613" w:hanging="360"/>
      </w:pPr>
    </w:lvl>
    <w:lvl w:ilvl="2" w:tplc="040C001B" w:tentative="1">
      <w:start w:val="1"/>
      <w:numFmt w:val="lowerRoman"/>
      <w:lvlText w:val="%3."/>
      <w:lvlJc w:val="right"/>
      <w:pPr>
        <w:ind w:left="2333" w:hanging="180"/>
      </w:pPr>
    </w:lvl>
    <w:lvl w:ilvl="3" w:tplc="040C000F" w:tentative="1">
      <w:start w:val="1"/>
      <w:numFmt w:val="decimal"/>
      <w:lvlText w:val="%4."/>
      <w:lvlJc w:val="left"/>
      <w:pPr>
        <w:ind w:left="3053" w:hanging="360"/>
      </w:pPr>
    </w:lvl>
    <w:lvl w:ilvl="4" w:tplc="040C0019" w:tentative="1">
      <w:start w:val="1"/>
      <w:numFmt w:val="lowerLetter"/>
      <w:lvlText w:val="%5."/>
      <w:lvlJc w:val="left"/>
      <w:pPr>
        <w:ind w:left="3773" w:hanging="360"/>
      </w:pPr>
    </w:lvl>
    <w:lvl w:ilvl="5" w:tplc="040C001B" w:tentative="1">
      <w:start w:val="1"/>
      <w:numFmt w:val="lowerRoman"/>
      <w:lvlText w:val="%6."/>
      <w:lvlJc w:val="right"/>
      <w:pPr>
        <w:ind w:left="4493" w:hanging="180"/>
      </w:pPr>
    </w:lvl>
    <w:lvl w:ilvl="6" w:tplc="040C000F" w:tentative="1">
      <w:start w:val="1"/>
      <w:numFmt w:val="decimal"/>
      <w:lvlText w:val="%7."/>
      <w:lvlJc w:val="left"/>
      <w:pPr>
        <w:ind w:left="5213" w:hanging="360"/>
      </w:pPr>
    </w:lvl>
    <w:lvl w:ilvl="7" w:tplc="040C0019" w:tentative="1">
      <w:start w:val="1"/>
      <w:numFmt w:val="lowerLetter"/>
      <w:lvlText w:val="%8."/>
      <w:lvlJc w:val="left"/>
      <w:pPr>
        <w:ind w:left="5933" w:hanging="360"/>
      </w:pPr>
    </w:lvl>
    <w:lvl w:ilvl="8" w:tplc="040C001B" w:tentative="1">
      <w:start w:val="1"/>
      <w:numFmt w:val="lowerRoman"/>
      <w:lvlText w:val="%9."/>
      <w:lvlJc w:val="right"/>
      <w:pPr>
        <w:ind w:left="6653" w:hanging="180"/>
      </w:pPr>
    </w:lvl>
  </w:abstractNum>
  <w:abstractNum w:abstractNumId="4">
    <w:nsid w:val="327C7428"/>
    <w:multiLevelType w:val="hybridMultilevel"/>
    <w:tmpl w:val="F88818C4"/>
    <w:lvl w:ilvl="0" w:tplc="880841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8465A3E"/>
    <w:multiLevelType w:val="hybridMultilevel"/>
    <w:tmpl w:val="975E58F8"/>
    <w:lvl w:ilvl="0" w:tplc="6032F9E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AF941CA"/>
    <w:multiLevelType w:val="hybridMultilevel"/>
    <w:tmpl w:val="DE422270"/>
    <w:lvl w:ilvl="0" w:tplc="1ED082A8">
      <w:start w:val="1"/>
      <w:numFmt w:val="arabicAlpha"/>
      <w:lvlText w:val="(%1)"/>
      <w:lvlJc w:val="left"/>
      <w:pPr>
        <w:ind w:left="425" w:hanging="360"/>
      </w:pPr>
      <w:rPr>
        <w:rFonts w:hint="default"/>
      </w:rPr>
    </w:lvl>
    <w:lvl w:ilvl="1" w:tplc="040C0019" w:tentative="1">
      <w:start w:val="1"/>
      <w:numFmt w:val="lowerLetter"/>
      <w:lvlText w:val="%2."/>
      <w:lvlJc w:val="left"/>
      <w:pPr>
        <w:ind w:left="1145" w:hanging="360"/>
      </w:pPr>
    </w:lvl>
    <w:lvl w:ilvl="2" w:tplc="040C001B" w:tentative="1">
      <w:start w:val="1"/>
      <w:numFmt w:val="lowerRoman"/>
      <w:lvlText w:val="%3."/>
      <w:lvlJc w:val="right"/>
      <w:pPr>
        <w:ind w:left="1865" w:hanging="180"/>
      </w:pPr>
    </w:lvl>
    <w:lvl w:ilvl="3" w:tplc="040C000F" w:tentative="1">
      <w:start w:val="1"/>
      <w:numFmt w:val="decimal"/>
      <w:lvlText w:val="%4."/>
      <w:lvlJc w:val="left"/>
      <w:pPr>
        <w:ind w:left="2585" w:hanging="360"/>
      </w:pPr>
    </w:lvl>
    <w:lvl w:ilvl="4" w:tplc="040C0019" w:tentative="1">
      <w:start w:val="1"/>
      <w:numFmt w:val="lowerLetter"/>
      <w:lvlText w:val="%5."/>
      <w:lvlJc w:val="left"/>
      <w:pPr>
        <w:ind w:left="3305" w:hanging="360"/>
      </w:pPr>
    </w:lvl>
    <w:lvl w:ilvl="5" w:tplc="040C001B" w:tentative="1">
      <w:start w:val="1"/>
      <w:numFmt w:val="lowerRoman"/>
      <w:lvlText w:val="%6."/>
      <w:lvlJc w:val="right"/>
      <w:pPr>
        <w:ind w:left="4025" w:hanging="180"/>
      </w:pPr>
    </w:lvl>
    <w:lvl w:ilvl="6" w:tplc="040C000F" w:tentative="1">
      <w:start w:val="1"/>
      <w:numFmt w:val="decimal"/>
      <w:lvlText w:val="%7."/>
      <w:lvlJc w:val="left"/>
      <w:pPr>
        <w:ind w:left="4745" w:hanging="360"/>
      </w:pPr>
    </w:lvl>
    <w:lvl w:ilvl="7" w:tplc="040C0019" w:tentative="1">
      <w:start w:val="1"/>
      <w:numFmt w:val="lowerLetter"/>
      <w:lvlText w:val="%8."/>
      <w:lvlJc w:val="left"/>
      <w:pPr>
        <w:ind w:left="5465" w:hanging="360"/>
      </w:pPr>
    </w:lvl>
    <w:lvl w:ilvl="8" w:tplc="040C001B" w:tentative="1">
      <w:start w:val="1"/>
      <w:numFmt w:val="lowerRoman"/>
      <w:lvlText w:val="%9."/>
      <w:lvlJc w:val="right"/>
      <w:pPr>
        <w:ind w:left="6185" w:hanging="180"/>
      </w:pPr>
    </w:lvl>
  </w:abstractNum>
  <w:abstractNum w:abstractNumId="7">
    <w:nsid w:val="627C7AE4"/>
    <w:multiLevelType w:val="hybridMultilevel"/>
    <w:tmpl w:val="4AD06316"/>
    <w:lvl w:ilvl="0" w:tplc="46A45856">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1"/>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5A2A59"/>
    <w:rsid w:val="005101FD"/>
    <w:rsid w:val="005A2A59"/>
    <w:rsid w:val="00C10A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2A59"/>
    <w:pPr>
      <w:ind w:left="720"/>
      <w:contextualSpacing/>
    </w:pPr>
  </w:style>
  <w:style w:type="paragraph" w:styleId="En-tte">
    <w:name w:val="header"/>
    <w:basedOn w:val="Normal"/>
    <w:link w:val="En-tteCar"/>
    <w:uiPriority w:val="99"/>
    <w:semiHidden/>
    <w:unhideWhenUsed/>
    <w:rsid w:val="005A2A5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A2A59"/>
  </w:style>
  <w:style w:type="paragraph" w:styleId="Pieddepage">
    <w:name w:val="footer"/>
    <w:basedOn w:val="Normal"/>
    <w:link w:val="PieddepageCar"/>
    <w:uiPriority w:val="99"/>
    <w:unhideWhenUsed/>
    <w:rsid w:val="005A2A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2A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3005</Words>
  <Characters>16532</Characters>
  <Application>Microsoft Office Word</Application>
  <DocSecurity>0</DocSecurity>
  <Lines>137</Lines>
  <Paragraphs>38</Paragraphs>
  <ScaleCrop>false</ScaleCrop>
  <Company/>
  <LinksUpToDate>false</LinksUpToDate>
  <CharactersWithSpaces>19499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2021-02-09T11:52:00Z</dcterms:created>
  <dcterms:modified xsi:type="dcterms:W3CDTF">2021-02-09T11:56:00Z</dcterms:modified>
</cp:coreProperties>
</file>