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F77" w:rsidRPr="00026DF6" w:rsidRDefault="00842F77" w:rsidP="00026DF6">
      <w:pPr>
        <w:spacing w:line="360" w:lineRule="auto"/>
        <w:ind w:firstLine="424"/>
        <w:jc w:val="center"/>
        <w:rPr>
          <w:rFonts w:asciiTheme="minorBidi" w:hAnsiTheme="minorBidi"/>
          <w:b/>
          <w:bCs/>
          <w:color w:val="000000" w:themeColor="text1"/>
          <w:sz w:val="36"/>
          <w:szCs w:val="36"/>
          <w:rtl/>
        </w:rPr>
      </w:pPr>
      <w:proofErr w:type="gramStart"/>
      <w:r w:rsidRPr="00026DF6">
        <w:rPr>
          <w:rFonts w:asciiTheme="minorBidi" w:hAnsiTheme="minorBidi"/>
          <w:b/>
          <w:bCs/>
          <w:color w:val="000000" w:themeColor="text1"/>
          <w:sz w:val="36"/>
          <w:szCs w:val="36"/>
          <w:rtl/>
        </w:rPr>
        <w:t>المحاضرة</w:t>
      </w:r>
      <w:proofErr w:type="gramEnd"/>
      <w:r w:rsidRPr="00026DF6">
        <w:rPr>
          <w:rFonts w:asciiTheme="minorBidi" w:hAnsiTheme="minorBidi"/>
          <w:b/>
          <w:bCs/>
          <w:color w:val="000000" w:themeColor="text1"/>
          <w:sz w:val="36"/>
          <w:szCs w:val="36"/>
          <w:rtl/>
        </w:rPr>
        <w:t xml:space="preserve"> السادسة</w:t>
      </w:r>
    </w:p>
    <w:p w:rsidR="00842F77" w:rsidRPr="00026DF6" w:rsidRDefault="00842F77" w:rsidP="00026DF6">
      <w:pPr>
        <w:spacing w:line="360" w:lineRule="auto"/>
        <w:jc w:val="center"/>
        <w:rPr>
          <w:rFonts w:asciiTheme="minorBidi" w:hAnsiTheme="minorBidi"/>
          <w:b/>
          <w:bCs/>
          <w:sz w:val="36"/>
          <w:szCs w:val="36"/>
          <w:rtl/>
          <w:lang w:bidi="ar-DZ"/>
        </w:rPr>
      </w:pPr>
      <w:r w:rsidRPr="00026DF6">
        <w:rPr>
          <w:rFonts w:asciiTheme="minorBidi" w:hAnsiTheme="minorBidi"/>
          <w:b/>
          <w:bCs/>
          <w:sz w:val="36"/>
          <w:szCs w:val="36"/>
          <w:rtl/>
          <w:lang w:bidi="ar-DZ"/>
        </w:rPr>
        <w:t>نظرات جديدة في إيقاع الشعر</w:t>
      </w:r>
    </w:p>
    <w:p w:rsidR="00842F77" w:rsidRPr="00026DF6" w:rsidRDefault="00842F77" w:rsidP="00026DF6">
      <w:pPr>
        <w:spacing w:line="360" w:lineRule="auto"/>
        <w:ind w:firstLine="424"/>
        <w:jc w:val="both"/>
        <w:rPr>
          <w:rFonts w:asciiTheme="minorBidi" w:hAnsiTheme="minorBidi"/>
          <w:sz w:val="36"/>
          <w:szCs w:val="36"/>
          <w:rtl/>
          <w:lang w:bidi="ar-DZ"/>
        </w:rPr>
      </w:pPr>
    </w:p>
    <w:p w:rsidR="00842F77" w:rsidRPr="00026DF6" w:rsidRDefault="00842F77" w:rsidP="00026DF6">
      <w:pPr>
        <w:spacing w:line="360" w:lineRule="auto"/>
        <w:ind w:firstLine="424"/>
        <w:jc w:val="both"/>
        <w:rPr>
          <w:rFonts w:asciiTheme="minorBidi" w:hAnsiTheme="minorBidi"/>
          <w:color w:val="000000" w:themeColor="text1"/>
          <w:sz w:val="36"/>
          <w:szCs w:val="36"/>
          <w:rtl/>
        </w:rPr>
      </w:pPr>
      <w:proofErr w:type="gramStart"/>
      <w:r w:rsidRPr="00026DF6">
        <w:rPr>
          <w:rFonts w:asciiTheme="minorBidi" w:hAnsiTheme="minorBidi"/>
          <w:color w:val="000000" w:themeColor="text1"/>
          <w:sz w:val="36"/>
          <w:szCs w:val="36"/>
          <w:rtl/>
        </w:rPr>
        <w:t>حظي</w:t>
      </w:r>
      <w:proofErr w:type="gramEnd"/>
      <w:r w:rsidRPr="00026DF6">
        <w:rPr>
          <w:rFonts w:asciiTheme="minorBidi" w:hAnsiTheme="minorBidi"/>
          <w:color w:val="000000" w:themeColor="text1"/>
          <w:sz w:val="36"/>
          <w:szCs w:val="36"/>
          <w:rtl/>
        </w:rPr>
        <w:t xml:space="preserve"> الإيقاع باهتمام النقاد </w:t>
      </w:r>
      <w:r w:rsidRPr="00026DF6">
        <w:rPr>
          <w:rFonts w:asciiTheme="minorBidi" w:hAnsiTheme="minorBidi"/>
          <w:color w:val="000000" w:themeColor="text1"/>
          <w:sz w:val="36"/>
          <w:szCs w:val="36"/>
          <w:rtl/>
        </w:rPr>
        <w:t>القدامى و</w:t>
      </w:r>
      <w:r w:rsidRPr="00026DF6">
        <w:rPr>
          <w:rFonts w:asciiTheme="minorBidi" w:hAnsiTheme="minorBidi"/>
          <w:color w:val="000000" w:themeColor="text1"/>
          <w:sz w:val="36"/>
          <w:szCs w:val="36"/>
          <w:rtl/>
        </w:rPr>
        <w:t xml:space="preserve">المحدثين </w:t>
      </w:r>
      <w:r w:rsidR="00026DF6">
        <w:rPr>
          <w:rFonts w:asciiTheme="minorBidi" w:hAnsiTheme="minorBidi"/>
          <w:color w:val="000000" w:themeColor="text1"/>
          <w:sz w:val="36"/>
          <w:szCs w:val="36"/>
          <w:rtl/>
        </w:rPr>
        <w:t>على السواء، و</w:t>
      </w:r>
      <w:r w:rsidRPr="00026DF6">
        <w:rPr>
          <w:rFonts w:asciiTheme="minorBidi" w:hAnsiTheme="minorBidi"/>
          <w:color w:val="000000" w:themeColor="text1"/>
          <w:sz w:val="36"/>
          <w:szCs w:val="36"/>
          <w:rtl/>
        </w:rPr>
        <w:t>ذ</w:t>
      </w:r>
      <w:r w:rsidR="00026DF6">
        <w:rPr>
          <w:rFonts w:asciiTheme="minorBidi" w:hAnsiTheme="minorBidi" w:hint="cs"/>
          <w:color w:val="000000" w:themeColor="text1"/>
          <w:sz w:val="36"/>
          <w:szCs w:val="36"/>
          <w:rtl/>
        </w:rPr>
        <w:t>ل</w:t>
      </w:r>
      <w:r w:rsidRPr="00026DF6">
        <w:rPr>
          <w:rFonts w:asciiTheme="minorBidi" w:hAnsiTheme="minorBidi"/>
          <w:color w:val="000000" w:themeColor="text1"/>
          <w:sz w:val="36"/>
          <w:szCs w:val="36"/>
          <w:rtl/>
        </w:rPr>
        <w:t xml:space="preserve">ك </w:t>
      </w:r>
      <w:r w:rsidRPr="00026DF6">
        <w:rPr>
          <w:rFonts w:asciiTheme="minorBidi" w:hAnsiTheme="minorBidi"/>
          <w:color w:val="000000" w:themeColor="text1"/>
          <w:sz w:val="36"/>
          <w:szCs w:val="36"/>
          <w:rtl/>
        </w:rPr>
        <w:t>لدوره في توليد الشعور بالجمال في الشعر</w:t>
      </w:r>
      <w:r w:rsidR="00026DF6">
        <w:rPr>
          <w:rFonts w:asciiTheme="minorBidi" w:hAnsiTheme="minorBidi" w:hint="cs"/>
          <w:color w:val="000000" w:themeColor="text1"/>
          <w:sz w:val="36"/>
          <w:szCs w:val="36"/>
          <w:rtl/>
        </w:rPr>
        <w:t>،</w:t>
      </w:r>
      <w:r w:rsidRPr="00026DF6">
        <w:rPr>
          <w:rFonts w:asciiTheme="minorBidi" w:hAnsiTheme="minorBidi"/>
          <w:color w:val="000000" w:themeColor="text1"/>
          <w:sz w:val="36"/>
          <w:szCs w:val="36"/>
          <w:rtl/>
        </w:rPr>
        <w:t xml:space="preserve"> وفي كلّ الفنون. إذ يؤدي غايات الشعر الانفعالية، ويقوّي صلة المتلقي بالمبدع، ويزيد من عوامل الربط بينهما، يقول علي جعفر العلاق:</w:t>
      </w:r>
      <w:r w:rsidRPr="00026DF6">
        <w:rPr>
          <w:rFonts w:asciiTheme="minorBidi" w:hAnsiTheme="minorBidi"/>
          <w:sz w:val="36"/>
          <w:szCs w:val="36"/>
          <w:rtl/>
        </w:rPr>
        <w:t xml:space="preserve"> ''</w:t>
      </w:r>
      <w:r w:rsidRPr="00026DF6">
        <w:rPr>
          <w:rFonts w:asciiTheme="minorBidi" w:hAnsiTheme="minorBidi"/>
          <w:color w:val="000000" w:themeColor="text1"/>
          <w:sz w:val="36"/>
          <w:szCs w:val="36"/>
          <w:rtl/>
        </w:rPr>
        <w:t>الجمهور لا يحقّق صلته بالشاعر وقصيدته، بأفكاره وأهوائه ومواقفه إلّا عبر هذه الغلالة الصوتية الريانة، أمّا الشاعر وهو يدرك هذه الحقيقة بعمق، فإنّه يحاول أن يضمن لقصيدته أكبر قدر من الغنى الصوتي الذي يجعل طريقها إلى الجمهور آمنا</w:t>
      </w:r>
      <w:r w:rsidRPr="00026DF6">
        <w:rPr>
          <w:rFonts w:asciiTheme="minorBidi" w:hAnsiTheme="minorBidi"/>
          <w:sz w:val="36"/>
          <w:szCs w:val="36"/>
          <w:rtl/>
        </w:rPr>
        <w:t>''</w:t>
      </w:r>
      <w:r w:rsidR="00026DF6">
        <w:rPr>
          <w:rFonts w:asciiTheme="minorBidi" w:hAnsiTheme="minorBidi" w:hint="cs"/>
          <w:sz w:val="36"/>
          <w:szCs w:val="36"/>
          <w:rtl/>
        </w:rPr>
        <w:t>.</w:t>
      </w:r>
    </w:p>
    <w:p w:rsidR="00842F77" w:rsidRPr="00026DF6" w:rsidRDefault="00842F77" w:rsidP="00026DF6">
      <w:pPr>
        <w:spacing w:line="360" w:lineRule="auto"/>
        <w:ind w:firstLine="424"/>
        <w:jc w:val="both"/>
        <w:rPr>
          <w:rFonts w:asciiTheme="minorBidi" w:hAnsiTheme="minorBidi"/>
          <w:color w:val="000000" w:themeColor="text1"/>
          <w:sz w:val="36"/>
          <w:szCs w:val="36"/>
          <w:rtl/>
        </w:rPr>
      </w:pPr>
      <w:r w:rsidRPr="00026DF6">
        <w:rPr>
          <w:rFonts w:asciiTheme="minorBidi" w:hAnsiTheme="minorBidi"/>
          <w:color w:val="000000" w:themeColor="text1"/>
          <w:sz w:val="36"/>
          <w:szCs w:val="36"/>
          <w:rtl/>
        </w:rPr>
        <w:t xml:space="preserve">وقد شغل </w:t>
      </w:r>
      <w:proofErr w:type="gramStart"/>
      <w:r w:rsidRPr="00026DF6">
        <w:rPr>
          <w:rFonts w:asciiTheme="minorBidi" w:hAnsiTheme="minorBidi"/>
          <w:color w:val="000000" w:themeColor="text1"/>
          <w:sz w:val="36"/>
          <w:szCs w:val="36"/>
          <w:rtl/>
        </w:rPr>
        <w:t>المغاربة</w:t>
      </w:r>
      <w:proofErr w:type="gramEnd"/>
      <w:r w:rsidRPr="00026DF6">
        <w:rPr>
          <w:rFonts w:asciiTheme="minorBidi" w:hAnsiTheme="minorBidi"/>
          <w:color w:val="000000" w:themeColor="text1"/>
          <w:sz w:val="36"/>
          <w:szCs w:val="36"/>
          <w:rtl/>
        </w:rPr>
        <w:t xml:space="preserve"> بموسيقى الشعر وإيقاعه، وأبانوا فيها ثقافة واسعة، و</w:t>
      </w:r>
      <w:r w:rsidRPr="00026DF6">
        <w:rPr>
          <w:rFonts w:asciiTheme="minorBidi" w:hAnsiTheme="minorBidi"/>
          <w:color w:val="000000" w:themeColor="text1"/>
          <w:sz w:val="36"/>
          <w:szCs w:val="36"/>
          <w:rtl/>
        </w:rPr>
        <w:t>كثرة</w:t>
      </w:r>
      <w:r w:rsidRPr="00026DF6">
        <w:rPr>
          <w:rFonts w:asciiTheme="minorBidi" w:hAnsiTheme="minorBidi"/>
          <w:color w:val="000000" w:themeColor="text1"/>
          <w:sz w:val="36"/>
          <w:szCs w:val="36"/>
          <w:rtl/>
        </w:rPr>
        <w:t xml:space="preserve"> في</w:t>
      </w:r>
      <w:r w:rsidRPr="00026DF6">
        <w:rPr>
          <w:rFonts w:asciiTheme="minorBidi" w:hAnsiTheme="minorBidi"/>
          <w:color w:val="000000" w:themeColor="text1"/>
          <w:sz w:val="36"/>
          <w:szCs w:val="36"/>
          <w:rtl/>
        </w:rPr>
        <w:t xml:space="preserve"> التطبيق.</w:t>
      </w:r>
    </w:p>
    <w:p w:rsidR="00842F77" w:rsidRPr="00026DF6" w:rsidRDefault="00842F77" w:rsidP="00026DF6">
      <w:pPr>
        <w:spacing w:line="360" w:lineRule="auto"/>
        <w:ind w:firstLine="424"/>
        <w:jc w:val="both"/>
        <w:rPr>
          <w:rFonts w:asciiTheme="minorBidi" w:hAnsiTheme="minorBidi"/>
          <w:sz w:val="36"/>
          <w:szCs w:val="36"/>
          <w:rtl/>
        </w:rPr>
      </w:pPr>
      <w:r w:rsidRPr="00026DF6">
        <w:rPr>
          <w:rFonts w:asciiTheme="minorBidi" w:hAnsiTheme="minorBidi"/>
          <w:sz w:val="36"/>
          <w:szCs w:val="36"/>
          <w:rtl/>
        </w:rPr>
        <w:t xml:space="preserve">ومن </w:t>
      </w:r>
      <w:r w:rsidRPr="00026DF6">
        <w:rPr>
          <w:rFonts w:asciiTheme="minorBidi" w:hAnsiTheme="minorBidi"/>
          <w:sz w:val="36"/>
          <w:szCs w:val="36"/>
          <w:rtl/>
        </w:rPr>
        <w:t>ال</w:t>
      </w:r>
      <w:r w:rsidRPr="00026DF6">
        <w:rPr>
          <w:rFonts w:asciiTheme="minorBidi" w:hAnsiTheme="minorBidi"/>
          <w:sz w:val="36"/>
          <w:szCs w:val="36"/>
          <w:rtl/>
        </w:rPr>
        <w:t>كتب النقد</w:t>
      </w:r>
      <w:r w:rsidRPr="00026DF6">
        <w:rPr>
          <w:rFonts w:asciiTheme="minorBidi" w:hAnsiTheme="minorBidi"/>
          <w:sz w:val="36"/>
          <w:szCs w:val="36"/>
          <w:rtl/>
        </w:rPr>
        <w:t>ية الأندلسية</w:t>
      </w:r>
      <w:r w:rsidRPr="00026DF6">
        <w:rPr>
          <w:rFonts w:asciiTheme="minorBidi" w:hAnsiTheme="minorBidi"/>
          <w:sz w:val="36"/>
          <w:szCs w:val="36"/>
          <w:rtl/>
        </w:rPr>
        <w:t xml:space="preserve"> التي تحدثت عن العروض، كتاب (المنهاج) الذي قدّم صاحبه فيه قراءة جديدة للعروض وموقفا مميزا من أصحابه،</w:t>
      </w:r>
      <w:r w:rsidRPr="00026DF6">
        <w:rPr>
          <w:rFonts w:asciiTheme="minorBidi" w:hAnsiTheme="minorBidi"/>
          <w:sz w:val="36"/>
          <w:szCs w:val="36"/>
          <w:rtl/>
        </w:rPr>
        <w:t xml:space="preserve"> ويمكن تلخيص مواطن تجديده كالآتي:</w:t>
      </w:r>
    </w:p>
    <w:p w:rsidR="00842F77" w:rsidRPr="00026DF6" w:rsidRDefault="00842F77" w:rsidP="00026DF6">
      <w:pPr>
        <w:spacing w:line="360" w:lineRule="auto"/>
        <w:ind w:firstLine="424"/>
        <w:jc w:val="both"/>
        <w:rPr>
          <w:rFonts w:asciiTheme="minorBidi" w:hAnsiTheme="minorBidi"/>
          <w:sz w:val="36"/>
          <w:szCs w:val="36"/>
          <w:rtl/>
        </w:rPr>
      </w:pPr>
      <w:r w:rsidRPr="00026DF6">
        <w:rPr>
          <w:rFonts w:asciiTheme="minorBidi" w:hAnsiTheme="minorBidi"/>
          <w:sz w:val="36"/>
          <w:szCs w:val="36"/>
          <w:rtl/>
        </w:rPr>
        <w:t xml:space="preserve">1/ </w:t>
      </w:r>
      <w:proofErr w:type="spellStart"/>
      <w:r w:rsidRPr="00026DF6">
        <w:rPr>
          <w:rFonts w:asciiTheme="minorBidi" w:hAnsiTheme="minorBidi"/>
          <w:sz w:val="36"/>
          <w:szCs w:val="36"/>
          <w:rtl/>
        </w:rPr>
        <w:t>العروضيون</w:t>
      </w:r>
      <w:proofErr w:type="spellEnd"/>
      <w:r w:rsidR="00026DF6">
        <w:rPr>
          <w:rFonts w:asciiTheme="minorBidi" w:hAnsiTheme="minorBidi" w:hint="cs"/>
          <w:sz w:val="36"/>
          <w:szCs w:val="36"/>
          <w:rtl/>
        </w:rPr>
        <w:t xml:space="preserve"> </w:t>
      </w:r>
      <w:r w:rsidRPr="00026DF6">
        <w:rPr>
          <w:rFonts w:asciiTheme="minorBidi" w:hAnsiTheme="minorBidi"/>
          <w:sz w:val="36"/>
          <w:szCs w:val="36"/>
          <w:rtl/>
        </w:rPr>
        <w:t>-</w:t>
      </w:r>
      <w:r w:rsidRPr="00026DF6">
        <w:rPr>
          <w:rFonts w:asciiTheme="minorBidi" w:hAnsiTheme="minorBidi"/>
          <w:sz w:val="36"/>
          <w:szCs w:val="36"/>
          <w:rtl/>
        </w:rPr>
        <w:t>حسب المنهاج-</w:t>
      </w:r>
      <w:r w:rsidRPr="00026DF6">
        <w:rPr>
          <w:rFonts w:asciiTheme="minorBidi" w:hAnsiTheme="minorBidi"/>
          <w:sz w:val="36"/>
          <w:szCs w:val="36"/>
          <w:rtl/>
        </w:rPr>
        <w:t xml:space="preserve"> فقراء لا يمتلكون مفاتيح الشعر</w:t>
      </w:r>
      <w:r w:rsidRPr="00026DF6">
        <w:rPr>
          <w:rFonts w:asciiTheme="minorBidi" w:hAnsiTheme="minorBidi"/>
          <w:sz w:val="36"/>
          <w:szCs w:val="36"/>
          <w:rtl/>
        </w:rPr>
        <w:t>،</w:t>
      </w:r>
      <w:r w:rsidRPr="00026DF6">
        <w:rPr>
          <w:rFonts w:asciiTheme="minorBidi" w:hAnsiTheme="minorBidi"/>
          <w:sz w:val="36"/>
          <w:szCs w:val="36"/>
          <w:rtl/>
        </w:rPr>
        <w:t xml:space="preserve"> </w:t>
      </w:r>
      <w:r w:rsidRPr="00026DF6">
        <w:rPr>
          <w:rFonts w:asciiTheme="minorBidi" w:hAnsiTheme="minorBidi"/>
          <w:sz w:val="36"/>
          <w:szCs w:val="36"/>
          <w:rtl/>
        </w:rPr>
        <w:t xml:space="preserve">والتي تتلخص في الطبع والاستعداد، </w:t>
      </w:r>
      <w:r w:rsidRPr="00026DF6">
        <w:rPr>
          <w:rFonts w:asciiTheme="minorBidi" w:hAnsiTheme="minorBidi"/>
          <w:sz w:val="36"/>
          <w:szCs w:val="36"/>
          <w:rtl/>
        </w:rPr>
        <w:t xml:space="preserve">بسب افتقارهم إلى علم البلاغة الكلي </w:t>
      </w:r>
      <w:r w:rsidRPr="00026DF6">
        <w:rPr>
          <w:rFonts w:asciiTheme="minorBidi" w:hAnsiTheme="minorBidi"/>
          <w:sz w:val="36"/>
          <w:szCs w:val="36"/>
          <w:rtl/>
        </w:rPr>
        <w:t>''</w:t>
      </w:r>
      <w:r w:rsidRPr="00026DF6">
        <w:rPr>
          <w:rFonts w:asciiTheme="minorBidi" w:hAnsiTheme="minorBidi"/>
          <w:sz w:val="36"/>
          <w:szCs w:val="36"/>
          <w:rtl/>
        </w:rPr>
        <w:t>الذي تندرج تحت تفاصيل كلياته ضروب التناسب والوضع</w:t>
      </w:r>
      <w:r w:rsidRPr="00026DF6">
        <w:rPr>
          <w:rFonts w:asciiTheme="minorBidi" w:hAnsiTheme="minorBidi"/>
          <w:sz w:val="36"/>
          <w:szCs w:val="36"/>
          <w:rtl/>
        </w:rPr>
        <w:t>''</w:t>
      </w:r>
      <w:r w:rsidRPr="00026DF6">
        <w:rPr>
          <w:rFonts w:asciiTheme="minorBidi" w:hAnsiTheme="minorBidi"/>
          <w:sz w:val="36"/>
          <w:szCs w:val="36"/>
          <w:rtl/>
          <w:lang w:bidi="ar-DZ"/>
        </w:rPr>
        <w:t>،</w:t>
      </w:r>
      <w:r w:rsidRPr="00026DF6">
        <w:rPr>
          <w:rFonts w:asciiTheme="minorBidi" w:hAnsiTheme="minorBidi"/>
          <w:sz w:val="36"/>
          <w:szCs w:val="36"/>
          <w:rtl/>
        </w:rPr>
        <w:t xml:space="preserve"> وجهلهم بطرق وقوع التناسب.</w:t>
      </w:r>
    </w:p>
    <w:p w:rsidR="00842F77" w:rsidRPr="00026DF6" w:rsidRDefault="00842F77" w:rsidP="00026DF6">
      <w:pPr>
        <w:spacing w:line="360" w:lineRule="auto"/>
        <w:jc w:val="both"/>
        <w:rPr>
          <w:rFonts w:asciiTheme="minorBidi" w:hAnsiTheme="minorBidi"/>
          <w:sz w:val="36"/>
          <w:szCs w:val="36"/>
          <w:rtl/>
        </w:rPr>
      </w:pPr>
      <w:r w:rsidRPr="00026DF6">
        <w:rPr>
          <w:rFonts w:asciiTheme="minorBidi" w:hAnsiTheme="minorBidi"/>
          <w:sz w:val="36"/>
          <w:szCs w:val="36"/>
          <w:rtl/>
        </w:rPr>
        <w:lastRenderedPageBreak/>
        <w:t>2/ يتطلب ذلك</w:t>
      </w:r>
      <w:r w:rsidRPr="00026DF6">
        <w:rPr>
          <w:rFonts w:asciiTheme="minorBidi" w:hAnsiTheme="minorBidi"/>
          <w:sz w:val="36"/>
          <w:szCs w:val="36"/>
          <w:rtl/>
        </w:rPr>
        <w:t xml:space="preserve"> توزيع</w:t>
      </w:r>
      <w:r w:rsidRPr="00026DF6">
        <w:rPr>
          <w:rFonts w:asciiTheme="minorBidi" w:hAnsiTheme="minorBidi"/>
          <w:sz w:val="36"/>
          <w:szCs w:val="36"/>
          <w:rtl/>
        </w:rPr>
        <w:t>ا</w:t>
      </w:r>
      <w:r w:rsidRPr="00026DF6">
        <w:rPr>
          <w:rFonts w:asciiTheme="minorBidi" w:hAnsiTheme="minorBidi"/>
          <w:sz w:val="36"/>
          <w:szCs w:val="36"/>
          <w:rtl/>
        </w:rPr>
        <w:t xml:space="preserve"> جديد</w:t>
      </w:r>
      <w:r w:rsidRPr="00026DF6">
        <w:rPr>
          <w:rFonts w:asciiTheme="minorBidi" w:hAnsiTheme="minorBidi"/>
          <w:sz w:val="36"/>
          <w:szCs w:val="36"/>
          <w:rtl/>
        </w:rPr>
        <w:t>ا</w:t>
      </w:r>
      <w:r w:rsidRPr="00026DF6">
        <w:rPr>
          <w:rFonts w:asciiTheme="minorBidi" w:hAnsiTheme="minorBidi"/>
          <w:sz w:val="36"/>
          <w:szCs w:val="36"/>
          <w:rtl/>
        </w:rPr>
        <w:t xml:space="preserve"> للعروض، ليس على أساس الدوائر لأنّ أكثرها </w:t>
      </w:r>
      <w:r w:rsidRPr="00026DF6">
        <w:rPr>
          <w:rFonts w:asciiTheme="minorBidi" w:hAnsiTheme="minorBidi"/>
          <w:sz w:val="36"/>
          <w:szCs w:val="36"/>
          <w:rtl/>
        </w:rPr>
        <w:t>''</w:t>
      </w:r>
      <w:r w:rsidRPr="00026DF6">
        <w:rPr>
          <w:rFonts w:asciiTheme="minorBidi" w:hAnsiTheme="minorBidi"/>
          <w:sz w:val="36"/>
          <w:szCs w:val="36"/>
          <w:rtl/>
        </w:rPr>
        <w:t>تنفك منها أوزان غير ملائمة ولا خفيفة، وهناك أيضا دوائر أخر لم يستعمل منها شيء، وهي عزيزة الإحصاء لكثرتها، إذ لكل تركيب من تركيبات الأسباب والأوتاد والأجزاء المركبة منها دائرة تخصه</w:t>
      </w:r>
      <w:r w:rsidRPr="00026DF6">
        <w:rPr>
          <w:rFonts w:asciiTheme="minorBidi" w:hAnsiTheme="minorBidi"/>
          <w:sz w:val="36"/>
          <w:szCs w:val="36"/>
        </w:rPr>
        <w:t>.</w:t>
      </w:r>
      <w:r w:rsidRPr="00026DF6">
        <w:rPr>
          <w:rFonts w:asciiTheme="minorBidi" w:hAnsiTheme="minorBidi"/>
          <w:sz w:val="36"/>
          <w:szCs w:val="36"/>
          <w:rtl/>
        </w:rPr>
        <w:t>''</w:t>
      </w:r>
    </w:p>
    <w:p w:rsidR="00842F77" w:rsidRPr="00026DF6" w:rsidRDefault="00842F77" w:rsidP="00026DF6">
      <w:pPr>
        <w:spacing w:line="360" w:lineRule="auto"/>
        <w:ind w:firstLine="424"/>
        <w:jc w:val="both"/>
        <w:rPr>
          <w:rFonts w:asciiTheme="minorBidi" w:hAnsiTheme="minorBidi"/>
          <w:sz w:val="36"/>
          <w:szCs w:val="36"/>
          <w:rtl/>
        </w:rPr>
      </w:pPr>
      <w:r w:rsidRPr="00026DF6">
        <w:rPr>
          <w:rFonts w:asciiTheme="minorBidi" w:hAnsiTheme="minorBidi"/>
          <w:sz w:val="36"/>
          <w:szCs w:val="36"/>
          <w:rtl/>
        </w:rPr>
        <w:t>ف</w:t>
      </w:r>
      <w:r w:rsidRPr="00026DF6">
        <w:rPr>
          <w:rFonts w:asciiTheme="minorBidi" w:hAnsiTheme="minorBidi"/>
          <w:sz w:val="36"/>
          <w:szCs w:val="36"/>
          <w:rtl/>
        </w:rPr>
        <w:t>الدوائر العروضية،</w:t>
      </w:r>
      <w:r w:rsidRPr="00026DF6">
        <w:rPr>
          <w:rFonts w:asciiTheme="minorBidi" w:hAnsiTheme="minorBidi"/>
          <w:sz w:val="36"/>
          <w:szCs w:val="36"/>
          <w:rtl/>
        </w:rPr>
        <w:t xml:space="preserve"> سببت الخلط والخطأ،</w:t>
      </w:r>
      <w:r w:rsidRPr="00026DF6">
        <w:rPr>
          <w:rFonts w:asciiTheme="minorBidi" w:hAnsiTheme="minorBidi"/>
          <w:sz w:val="36"/>
          <w:szCs w:val="36"/>
          <w:rtl/>
        </w:rPr>
        <w:t xml:space="preserve"> لذلك أقصاها من الاعتبار واعتمد على (علم اللسان الكلي)</w:t>
      </w:r>
      <w:r w:rsidR="00026DF6">
        <w:rPr>
          <w:rFonts w:asciiTheme="minorBidi" w:hAnsiTheme="minorBidi" w:hint="cs"/>
          <w:sz w:val="36"/>
          <w:szCs w:val="36"/>
          <w:rtl/>
        </w:rPr>
        <w:t>،</w:t>
      </w:r>
      <w:r w:rsidRPr="00026DF6">
        <w:rPr>
          <w:rFonts w:asciiTheme="minorBidi" w:hAnsiTheme="minorBidi"/>
          <w:sz w:val="36"/>
          <w:szCs w:val="36"/>
          <w:rtl/>
        </w:rPr>
        <w:t xml:space="preserve"> المؤسس على أصول منطقية وآراء فلسفية، لأنّ علم اللسان الجزئي الذي اتكأ عليه </w:t>
      </w:r>
      <w:proofErr w:type="spellStart"/>
      <w:r w:rsidRPr="00026DF6">
        <w:rPr>
          <w:rFonts w:asciiTheme="minorBidi" w:hAnsiTheme="minorBidi"/>
          <w:sz w:val="36"/>
          <w:szCs w:val="36"/>
          <w:rtl/>
        </w:rPr>
        <w:t>العروضيون</w:t>
      </w:r>
      <w:proofErr w:type="spellEnd"/>
      <w:r w:rsidRPr="00026DF6">
        <w:rPr>
          <w:rFonts w:asciiTheme="minorBidi" w:hAnsiTheme="minorBidi"/>
          <w:sz w:val="36"/>
          <w:szCs w:val="36"/>
          <w:rtl/>
        </w:rPr>
        <w:t xml:space="preserve"> في استنباط آرائهم، عاجز عن تقديم الصورة الصحيحة للوزن</w:t>
      </w:r>
      <w:r w:rsidR="00026DF6">
        <w:rPr>
          <w:rFonts w:asciiTheme="minorBidi" w:hAnsiTheme="minorBidi" w:hint="cs"/>
          <w:sz w:val="36"/>
          <w:szCs w:val="36"/>
          <w:rtl/>
        </w:rPr>
        <w:t>،</w:t>
      </w:r>
      <w:r w:rsidRPr="00026DF6">
        <w:rPr>
          <w:rFonts w:asciiTheme="minorBidi" w:hAnsiTheme="minorBidi"/>
          <w:sz w:val="36"/>
          <w:szCs w:val="36"/>
          <w:rtl/>
        </w:rPr>
        <w:t xml:space="preserve"> فمعظم آرائهم</w:t>
      </w:r>
      <w:r w:rsidR="00026DF6">
        <w:rPr>
          <w:rFonts w:asciiTheme="minorBidi" w:hAnsiTheme="minorBidi" w:hint="cs"/>
          <w:sz w:val="36"/>
          <w:szCs w:val="36"/>
          <w:rtl/>
        </w:rPr>
        <w:t xml:space="preserve"> </w:t>
      </w:r>
      <w:r w:rsidRPr="00026DF6">
        <w:rPr>
          <w:rFonts w:asciiTheme="minorBidi" w:hAnsiTheme="minorBidi"/>
          <w:sz w:val="36"/>
          <w:szCs w:val="36"/>
          <w:rtl/>
        </w:rPr>
        <w:t>-حسبه- مبنية على شفا جرف هار.</w:t>
      </w:r>
    </w:p>
    <w:p w:rsidR="006828E1" w:rsidRPr="00026DF6" w:rsidRDefault="006828E1" w:rsidP="00026DF6">
      <w:pPr>
        <w:spacing w:line="360" w:lineRule="auto"/>
        <w:jc w:val="both"/>
        <w:rPr>
          <w:rFonts w:asciiTheme="minorBidi" w:hAnsiTheme="minorBidi"/>
          <w:sz w:val="36"/>
          <w:szCs w:val="36"/>
          <w:rtl/>
        </w:rPr>
      </w:pPr>
      <w:r w:rsidRPr="00026DF6">
        <w:rPr>
          <w:rFonts w:asciiTheme="minorBidi" w:hAnsiTheme="minorBidi"/>
          <w:sz w:val="36"/>
          <w:szCs w:val="36"/>
          <w:rtl/>
          <w:lang w:bidi="ar-DZ"/>
        </w:rPr>
        <w:t xml:space="preserve">3/ تتكون </w:t>
      </w:r>
      <w:r w:rsidR="00842F77" w:rsidRPr="00026DF6">
        <w:rPr>
          <w:rFonts w:asciiTheme="minorBidi" w:hAnsiTheme="minorBidi"/>
          <w:sz w:val="36"/>
          <w:szCs w:val="36"/>
          <w:rtl/>
        </w:rPr>
        <w:t xml:space="preserve">بحور الشعر من مجموعات، وتتركب من أجزاء خماسية وسباعية وتساعية كالآتي: مجموعة مكونة من تفعيلة واحدة وأسماها الساذجة، وهي خماسية وفيها المتقارب، وسباعية وتضم الرجز والكامل والوافر والرمل والهزج، وتساعية ومنها </w:t>
      </w:r>
      <w:proofErr w:type="spellStart"/>
      <w:r w:rsidR="00842F77" w:rsidRPr="00026DF6">
        <w:rPr>
          <w:rFonts w:asciiTheme="minorBidi" w:hAnsiTheme="minorBidi"/>
          <w:sz w:val="36"/>
          <w:szCs w:val="36"/>
          <w:rtl/>
        </w:rPr>
        <w:t>الخبب</w:t>
      </w:r>
      <w:proofErr w:type="spellEnd"/>
      <w:r w:rsidR="00842F77" w:rsidRPr="00026DF6">
        <w:rPr>
          <w:rFonts w:asciiTheme="minorBidi" w:hAnsiTheme="minorBidi"/>
          <w:sz w:val="36"/>
          <w:szCs w:val="36"/>
          <w:rtl/>
        </w:rPr>
        <w:t>، وعكسها الأوزان المركبة من تفعيلات خماسية وسباعية وهي: الطويل والبسيط والمديد والمقتضب، وأمّا المكوّنة من السباعيات المتغايرة ففيها السريع والخفيف، والمتركبة من الخماسية والسباعية والتساعية وزن المنسرح، بالإضافة إلى وزن (</w:t>
      </w:r>
      <w:proofErr w:type="spellStart"/>
      <w:r w:rsidR="00842F77" w:rsidRPr="00026DF6">
        <w:rPr>
          <w:rFonts w:asciiTheme="minorBidi" w:hAnsiTheme="minorBidi"/>
          <w:sz w:val="36"/>
          <w:szCs w:val="36"/>
          <w:rtl/>
        </w:rPr>
        <w:t>الديبيتي</w:t>
      </w:r>
      <w:proofErr w:type="spellEnd"/>
      <w:r w:rsidR="00842F77" w:rsidRPr="00026DF6">
        <w:rPr>
          <w:rFonts w:asciiTheme="minorBidi" w:hAnsiTheme="minorBidi"/>
          <w:sz w:val="36"/>
          <w:szCs w:val="36"/>
          <w:rtl/>
        </w:rPr>
        <w:t>)، وهو من وضع متأخري المشارقة</w:t>
      </w:r>
      <w:r w:rsidR="00026DF6">
        <w:rPr>
          <w:rFonts w:asciiTheme="minorBidi" w:hAnsiTheme="minorBidi" w:hint="cs"/>
          <w:sz w:val="36"/>
          <w:szCs w:val="36"/>
          <w:rtl/>
        </w:rPr>
        <w:t>.</w:t>
      </w:r>
      <w:r w:rsidR="00842F77" w:rsidRPr="00026DF6">
        <w:rPr>
          <w:rFonts w:asciiTheme="minorBidi" w:hAnsiTheme="minorBidi"/>
          <w:sz w:val="36"/>
          <w:szCs w:val="36"/>
          <w:rtl/>
        </w:rPr>
        <w:t xml:space="preserve"> وقد أجازه من ناحية الذوق، ويتركب من سباعي وتساعي وشطره (</w:t>
      </w:r>
      <w:proofErr w:type="spellStart"/>
      <w:r w:rsidR="00842F77" w:rsidRPr="00026DF6">
        <w:rPr>
          <w:rFonts w:asciiTheme="minorBidi" w:hAnsiTheme="minorBidi"/>
          <w:sz w:val="36"/>
          <w:szCs w:val="36"/>
          <w:rtl/>
        </w:rPr>
        <w:t>مستفعلن</w:t>
      </w:r>
      <w:proofErr w:type="spellEnd"/>
      <w:r w:rsidR="00842F77" w:rsidRPr="00026DF6">
        <w:rPr>
          <w:rFonts w:asciiTheme="minorBidi" w:hAnsiTheme="minorBidi"/>
          <w:sz w:val="36"/>
          <w:szCs w:val="36"/>
          <w:rtl/>
        </w:rPr>
        <w:t xml:space="preserve"> </w:t>
      </w:r>
      <w:proofErr w:type="spellStart"/>
      <w:r w:rsidR="00842F77" w:rsidRPr="00026DF6">
        <w:rPr>
          <w:rFonts w:asciiTheme="minorBidi" w:hAnsiTheme="minorBidi"/>
          <w:sz w:val="36"/>
          <w:szCs w:val="36"/>
          <w:rtl/>
        </w:rPr>
        <w:t>مستفعلن</w:t>
      </w:r>
      <w:proofErr w:type="spellEnd"/>
      <w:r w:rsidR="00842F77" w:rsidRPr="00026DF6">
        <w:rPr>
          <w:rFonts w:asciiTheme="minorBidi" w:hAnsiTheme="minorBidi"/>
          <w:sz w:val="36"/>
          <w:szCs w:val="36"/>
          <w:rtl/>
        </w:rPr>
        <w:t xml:space="preserve"> </w:t>
      </w:r>
      <w:proofErr w:type="spellStart"/>
      <w:r w:rsidR="00842F77" w:rsidRPr="00026DF6">
        <w:rPr>
          <w:rFonts w:asciiTheme="minorBidi" w:hAnsiTheme="minorBidi"/>
          <w:sz w:val="36"/>
          <w:szCs w:val="36"/>
          <w:rtl/>
        </w:rPr>
        <w:t>مفتعلن</w:t>
      </w:r>
      <w:proofErr w:type="spellEnd"/>
      <w:r w:rsidR="00842F77" w:rsidRPr="00026DF6">
        <w:rPr>
          <w:rFonts w:asciiTheme="minorBidi" w:hAnsiTheme="minorBidi"/>
          <w:sz w:val="36"/>
          <w:szCs w:val="36"/>
          <w:rtl/>
        </w:rPr>
        <w:t xml:space="preserve">)، وهذه الأوزان تختلف من حيث الشهرة من عدمها، فالمقتضب والمجتث أقلّ شهرة عند العرب، بينما شكّ في وضعهم </w:t>
      </w:r>
      <w:proofErr w:type="spellStart"/>
      <w:r w:rsidR="00842F77" w:rsidRPr="00026DF6">
        <w:rPr>
          <w:rFonts w:asciiTheme="minorBidi" w:hAnsiTheme="minorBidi"/>
          <w:sz w:val="36"/>
          <w:szCs w:val="36"/>
          <w:rtl/>
        </w:rPr>
        <w:t>للخبب.</w:t>
      </w:r>
      <w:proofErr w:type="spellEnd"/>
    </w:p>
    <w:p w:rsidR="00842F77" w:rsidRPr="00026DF6" w:rsidRDefault="006828E1" w:rsidP="00026DF6">
      <w:pPr>
        <w:spacing w:line="360" w:lineRule="auto"/>
        <w:jc w:val="both"/>
        <w:rPr>
          <w:rFonts w:asciiTheme="minorBidi" w:hAnsiTheme="minorBidi"/>
          <w:sz w:val="36"/>
          <w:szCs w:val="36"/>
          <w:rtl/>
        </w:rPr>
      </w:pPr>
      <w:r w:rsidRPr="00026DF6">
        <w:rPr>
          <w:rFonts w:asciiTheme="minorBidi" w:hAnsiTheme="minorBidi"/>
          <w:sz w:val="36"/>
          <w:szCs w:val="36"/>
          <w:rtl/>
        </w:rPr>
        <w:t>4/ يقدّر</w:t>
      </w:r>
      <w:r w:rsidR="00842F77" w:rsidRPr="00026DF6">
        <w:rPr>
          <w:rFonts w:asciiTheme="minorBidi" w:hAnsiTheme="minorBidi"/>
          <w:sz w:val="36"/>
          <w:szCs w:val="36"/>
          <w:rtl/>
        </w:rPr>
        <w:t xml:space="preserve"> الوزن بمراعاة </w:t>
      </w:r>
      <w:proofErr w:type="gramStart"/>
      <w:r w:rsidR="00842F77" w:rsidRPr="00026DF6">
        <w:rPr>
          <w:rFonts w:asciiTheme="minorBidi" w:hAnsiTheme="minorBidi"/>
          <w:sz w:val="36"/>
          <w:szCs w:val="36"/>
          <w:rtl/>
        </w:rPr>
        <w:t>طرق</w:t>
      </w:r>
      <w:proofErr w:type="gramEnd"/>
      <w:r w:rsidR="00842F77" w:rsidRPr="00026DF6">
        <w:rPr>
          <w:rFonts w:asciiTheme="minorBidi" w:hAnsiTheme="minorBidi"/>
          <w:sz w:val="36"/>
          <w:szCs w:val="36"/>
          <w:rtl/>
        </w:rPr>
        <w:t xml:space="preserve"> التناسب والتنافر. وتتم مراعاة التناسب وتفادي التنافر من جهتين: من جهة تفعيلات الأوزان والأجزاء التي تركّب منها، ومن </w:t>
      </w:r>
      <w:r w:rsidR="00842F77" w:rsidRPr="00026DF6">
        <w:rPr>
          <w:rFonts w:asciiTheme="minorBidi" w:hAnsiTheme="minorBidi"/>
          <w:sz w:val="36"/>
          <w:szCs w:val="36"/>
          <w:rtl/>
        </w:rPr>
        <w:lastRenderedPageBreak/>
        <w:t>جهة الأوزان والمعاني حتى يتم إخراج النص بالشكل المنوط به، فيكون مكتملا بتكامل خصائصه الشكلية والجوهرية، وفي ذلك قال</w:t>
      </w:r>
      <w:r w:rsidR="00842F77" w:rsidRPr="00026DF6">
        <w:rPr>
          <w:rFonts w:asciiTheme="minorBidi" w:hAnsiTheme="minorBidi"/>
          <w:sz w:val="36"/>
          <w:szCs w:val="36"/>
          <w:rtl/>
          <w:lang w:bidi="ar-DZ"/>
        </w:rPr>
        <w:t xml:space="preserve">: </w:t>
      </w:r>
      <w:r w:rsidRPr="00026DF6">
        <w:rPr>
          <w:rFonts w:asciiTheme="minorBidi" w:hAnsiTheme="minorBidi"/>
          <w:sz w:val="36"/>
          <w:szCs w:val="36"/>
          <w:rtl/>
        </w:rPr>
        <w:t>''</w:t>
      </w:r>
      <w:r w:rsidR="00842F77" w:rsidRPr="00026DF6">
        <w:rPr>
          <w:rFonts w:asciiTheme="minorBidi" w:hAnsiTheme="minorBidi"/>
          <w:sz w:val="36"/>
          <w:szCs w:val="36"/>
          <w:rtl/>
        </w:rPr>
        <w:t>وكلما وردت أنواع الشيء وضروبه مترتبة على نظام متشاكل وتأليف متناسب كان ذلك أدعى لتعجيب النفس وإيلاعها بالاستماع من الشيء، ووقع منها الموقع الذي ترتاح له</w:t>
      </w:r>
      <w:r w:rsidRPr="00026DF6">
        <w:rPr>
          <w:rFonts w:asciiTheme="minorBidi" w:hAnsiTheme="minorBidi"/>
          <w:sz w:val="36"/>
          <w:szCs w:val="36"/>
          <w:rtl/>
        </w:rPr>
        <w:t>''</w:t>
      </w:r>
      <w:r w:rsidR="00842F77" w:rsidRPr="00026DF6">
        <w:rPr>
          <w:rFonts w:asciiTheme="minorBidi" w:hAnsiTheme="minorBidi"/>
          <w:sz w:val="36"/>
          <w:szCs w:val="36"/>
          <w:rtl/>
        </w:rPr>
        <w:t xml:space="preserve">، وتلك التراكيب المتناسبة تكون </w:t>
      </w:r>
      <w:r w:rsidRPr="00026DF6">
        <w:rPr>
          <w:rFonts w:asciiTheme="minorBidi" w:hAnsiTheme="minorBidi"/>
          <w:sz w:val="36"/>
          <w:szCs w:val="36"/>
          <w:rtl/>
        </w:rPr>
        <w:t>''</w:t>
      </w:r>
      <w:r w:rsidR="00842F77" w:rsidRPr="00026DF6">
        <w:rPr>
          <w:rFonts w:asciiTheme="minorBidi" w:hAnsiTheme="minorBidi"/>
          <w:sz w:val="36"/>
          <w:szCs w:val="36"/>
          <w:rtl/>
        </w:rPr>
        <w:t xml:space="preserve">باقتران المتماثلات </w:t>
      </w:r>
      <w:proofErr w:type="spellStart"/>
      <w:r w:rsidR="00842F77" w:rsidRPr="00026DF6">
        <w:rPr>
          <w:rFonts w:asciiTheme="minorBidi" w:hAnsiTheme="minorBidi"/>
          <w:sz w:val="36"/>
          <w:szCs w:val="36"/>
          <w:rtl/>
        </w:rPr>
        <w:t>والمتضارعات</w:t>
      </w:r>
      <w:proofErr w:type="spellEnd"/>
      <w:r w:rsidRPr="00026DF6">
        <w:rPr>
          <w:rFonts w:asciiTheme="minorBidi" w:hAnsiTheme="minorBidi"/>
          <w:sz w:val="36"/>
          <w:szCs w:val="36"/>
          <w:rtl/>
        </w:rPr>
        <w:t>''.</w:t>
      </w:r>
    </w:p>
    <w:p w:rsidR="00842F77" w:rsidRPr="00026DF6" w:rsidRDefault="006828E1" w:rsidP="00026DF6">
      <w:pPr>
        <w:spacing w:line="360" w:lineRule="auto"/>
        <w:jc w:val="both"/>
        <w:rPr>
          <w:rFonts w:asciiTheme="minorBidi" w:hAnsiTheme="minorBidi"/>
          <w:sz w:val="36"/>
          <w:szCs w:val="36"/>
          <w:rtl/>
          <w:lang w:bidi="ar-DZ"/>
        </w:rPr>
      </w:pPr>
      <w:r w:rsidRPr="00026DF6">
        <w:rPr>
          <w:rFonts w:asciiTheme="minorBidi" w:hAnsiTheme="minorBidi"/>
          <w:sz w:val="36"/>
          <w:szCs w:val="36"/>
          <w:rtl/>
        </w:rPr>
        <w:t xml:space="preserve">5/ </w:t>
      </w:r>
      <w:r w:rsidR="00842F77" w:rsidRPr="00026DF6">
        <w:rPr>
          <w:rFonts w:asciiTheme="minorBidi" w:hAnsiTheme="minorBidi"/>
          <w:sz w:val="36"/>
          <w:szCs w:val="36"/>
          <w:rtl/>
        </w:rPr>
        <w:t>تختلف</w:t>
      </w:r>
      <w:r w:rsidRPr="00026DF6">
        <w:rPr>
          <w:rFonts w:asciiTheme="minorBidi" w:hAnsiTheme="minorBidi"/>
          <w:sz w:val="36"/>
          <w:szCs w:val="36"/>
          <w:rtl/>
        </w:rPr>
        <w:t xml:space="preserve"> الأوزان</w:t>
      </w:r>
      <w:r w:rsidR="00842F77" w:rsidRPr="00026DF6">
        <w:rPr>
          <w:rFonts w:asciiTheme="minorBidi" w:hAnsiTheme="minorBidi"/>
          <w:sz w:val="36"/>
          <w:szCs w:val="36"/>
          <w:rtl/>
        </w:rPr>
        <w:t xml:space="preserve"> من حيث الفخامة والرصانة ووجه التوظيف، وكل وزن منها له ما يناسبه من المعاني بحسب رقتها أو فخامتها ونبرتها الشعورية، وهيئتها الصوتية</w:t>
      </w:r>
      <w:r w:rsidRPr="00026DF6">
        <w:rPr>
          <w:rFonts w:asciiTheme="minorBidi" w:hAnsiTheme="minorBidi"/>
          <w:sz w:val="36"/>
          <w:szCs w:val="36"/>
          <w:rtl/>
          <w:lang w:bidi="ar-DZ"/>
        </w:rPr>
        <w:t>.</w:t>
      </w:r>
    </w:p>
    <w:p w:rsidR="00842F77" w:rsidRPr="00026DF6" w:rsidRDefault="006828E1" w:rsidP="00026DF6">
      <w:pPr>
        <w:spacing w:after="0" w:line="360" w:lineRule="auto"/>
        <w:jc w:val="both"/>
        <w:rPr>
          <w:rFonts w:asciiTheme="minorBidi" w:hAnsiTheme="minorBidi"/>
          <w:sz w:val="36"/>
          <w:szCs w:val="36"/>
          <w:rtl/>
        </w:rPr>
      </w:pPr>
      <w:r w:rsidRPr="00026DF6">
        <w:rPr>
          <w:rFonts w:asciiTheme="minorBidi" w:hAnsiTheme="minorBidi"/>
          <w:sz w:val="36"/>
          <w:szCs w:val="36"/>
          <w:rtl/>
        </w:rPr>
        <w:t xml:space="preserve">6/ </w:t>
      </w:r>
      <w:r w:rsidR="00842F77" w:rsidRPr="00026DF6">
        <w:rPr>
          <w:rFonts w:asciiTheme="minorBidi" w:hAnsiTheme="minorBidi"/>
          <w:sz w:val="36"/>
          <w:szCs w:val="36"/>
          <w:rtl/>
        </w:rPr>
        <w:t>استجاد وزنا وضعه المحدثون وهو وزن (</w:t>
      </w:r>
      <w:proofErr w:type="spellStart"/>
      <w:r w:rsidR="00842F77" w:rsidRPr="00026DF6">
        <w:rPr>
          <w:rFonts w:asciiTheme="minorBidi" w:hAnsiTheme="minorBidi"/>
          <w:sz w:val="36"/>
          <w:szCs w:val="36"/>
          <w:rtl/>
        </w:rPr>
        <w:t>الدبيتي</w:t>
      </w:r>
      <w:proofErr w:type="spellEnd"/>
      <w:r w:rsidR="00842F77" w:rsidRPr="00026DF6">
        <w:rPr>
          <w:rFonts w:asciiTheme="minorBidi" w:hAnsiTheme="minorBidi"/>
          <w:sz w:val="36"/>
          <w:szCs w:val="36"/>
          <w:rtl/>
        </w:rPr>
        <w:t>)</w:t>
      </w:r>
      <w:r w:rsidRPr="00026DF6">
        <w:rPr>
          <w:rFonts w:asciiTheme="minorBidi" w:hAnsiTheme="minorBidi"/>
          <w:sz w:val="36"/>
          <w:szCs w:val="36"/>
          <w:rtl/>
        </w:rPr>
        <w:t xml:space="preserve">، وهو </w:t>
      </w:r>
      <w:r w:rsidRPr="00026DF6">
        <w:rPr>
          <w:rFonts w:asciiTheme="minorBidi" w:hAnsiTheme="minorBidi"/>
          <w:sz w:val="36"/>
          <w:szCs w:val="36"/>
          <w:rtl/>
        </w:rPr>
        <w:t xml:space="preserve">فارسي الأصل، </w:t>
      </w:r>
      <w:r w:rsidRPr="00026DF6">
        <w:rPr>
          <w:rFonts w:asciiTheme="minorBidi" w:hAnsiTheme="minorBidi"/>
          <w:sz w:val="36"/>
          <w:szCs w:val="36"/>
          <w:rtl/>
        </w:rPr>
        <w:t>و</w:t>
      </w:r>
      <w:r w:rsidRPr="00026DF6">
        <w:rPr>
          <w:rFonts w:asciiTheme="minorBidi" w:hAnsiTheme="minorBidi"/>
          <w:sz w:val="36"/>
          <w:szCs w:val="36"/>
          <w:rtl/>
        </w:rPr>
        <w:t xml:space="preserve">وزنه عندهم مفعول مفاعيل </w:t>
      </w:r>
      <w:proofErr w:type="spellStart"/>
      <w:r w:rsidRPr="00026DF6">
        <w:rPr>
          <w:rFonts w:asciiTheme="minorBidi" w:hAnsiTheme="minorBidi"/>
          <w:sz w:val="36"/>
          <w:szCs w:val="36"/>
          <w:rtl/>
        </w:rPr>
        <w:t>مفاعيلن</w:t>
      </w:r>
      <w:proofErr w:type="spellEnd"/>
      <w:r w:rsidRPr="00026DF6">
        <w:rPr>
          <w:rFonts w:asciiTheme="minorBidi" w:hAnsiTheme="minorBidi"/>
          <w:sz w:val="36"/>
          <w:szCs w:val="36"/>
          <w:rtl/>
        </w:rPr>
        <w:t xml:space="preserve"> أربع مرات، أما عند </w:t>
      </w:r>
      <w:proofErr w:type="spellStart"/>
      <w:r w:rsidRPr="00026DF6">
        <w:rPr>
          <w:rFonts w:asciiTheme="minorBidi" w:hAnsiTheme="minorBidi"/>
          <w:sz w:val="36"/>
          <w:szCs w:val="36"/>
          <w:rtl/>
        </w:rPr>
        <w:t>العروضيين</w:t>
      </w:r>
      <w:proofErr w:type="spellEnd"/>
      <w:r w:rsidRPr="00026DF6">
        <w:rPr>
          <w:rFonts w:asciiTheme="minorBidi" w:hAnsiTheme="minorBidi"/>
          <w:sz w:val="36"/>
          <w:szCs w:val="36"/>
          <w:rtl/>
        </w:rPr>
        <w:t xml:space="preserve"> العرب فوزنه: فعلن </w:t>
      </w:r>
      <w:proofErr w:type="spellStart"/>
      <w:r w:rsidRPr="00026DF6">
        <w:rPr>
          <w:rFonts w:asciiTheme="minorBidi" w:hAnsiTheme="minorBidi"/>
          <w:sz w:val="36"/>
          <w:szCs w:val="36"/>
          <w:rtl/>
        </w:rPr>
        <w:t>متفاعلن</w:t>
      </w:r>
      <w:proofErr w:type="spellEnd"/>
      <w:r w:rsidRPr="00026DF6">
        <w:rPr>
          <w:rFonts w:asciiTheme="minorBidi" w:hAnsiTheme="minorBidi"/>
          <w:sz w:val="36"/>
          <w:szCs w:val="36"/>
          <w:rtl/>
        </w:rPr>
        <w:t xml:space="preserve"> فعولن فعلن، ويطلق على مقاطعه الرباعيات.</w:t>
      </w:r>
      <w:r w:rsidR="00842F77" w:rsidRPr="00026DF6">
        <w:rPr>
          <w:rFonts w:asciiTheme="minorBidi" w:hAnsiTheme="minorBidi"/>
          <w:sz w:val="36"/>
          <w:szCs w:val="36"/>
          <w:rtl/>
        </w:rPr>
        <w:t xml:space="preserve">. </w:t>
      </w:r>
    </w:p>
    <w:p w:rsidR="006828E1" w:rsidRPr="00026DF6" w:rsidRDefault="006828E1" w:rsidP="00026DF6">
      <w:pPr>
        <w:pStyle w:val="Notedebasdepage"/>
        <w:spacing w:line="360" w:lineRule="auto"/>
        <w:rPr>
          <w:rFonts w:asciiTheme="minorBidi" w:hAnsiTheme="minorBidi" w:cstheme="minorBidi"/>
          <w:sz w:val="36"/>
          <w:szCs w:val="36"/>
          <w:rtl/>
        </w:rPr>
      </w:pPr>
    </w:p>
    <w:p w:rsidR="006828E1" w:rsidRPr="00026DF6" w:rsidRDefault="006828E1" w:rsidP="00026DF6">
      <w:pPr>
        <w:pStyle w:val="Notedebasdepage"/>
        <w:spacing w:line="360" w:lineRule="auto"/>
        <w:rPr>
          <w:rFonts w:asciiTheme="minorBidi" w:hAnsiTheme="minorBidi" w:cstheme="minorBidi"/>
          <w:b/>
          <w:bCs/>
          <w:sz w:val="36"/>
          <w:szCs w:val="36"/>
          <w:rtl/>
        </w:rPr>
      </w:pPr>
      <w:r w:rsidRPr="00026DF6">
        <w:rPr>
          <w:rFonts w:asciiTheme="minorBidi" w:hAnsiTheme="minorBidi" w:cstheme="minorBidi"/>
          <w:b/>
          <w:bCs/>
          <w:sz w:val="36"/>
          <w:szCs w:val="36"/>
          <w:rtl/>
        </w:rPr>
        <w:t xml:space="preserve">المصادر </w:t>
      </w:r>
      <w:proofErr w:type="gramStart"/>
      <w:r w:rsidRPr="00026DF6">
        <w:rPr>
          <w:rFonts w:asciiTheme="minorBidi" w:hAnsiTheme="minorBidi" w:cstheme="minorBidi"/>
          <w:b/>
          <w:bCs/>
          <w:sz w:val="36"/>
          <w:szCs w:val="36"/>
          <w:rtl/>
        </w:rPr>
        <w:t>والمراجع</w:t>
      </w:r>
      <w:proofErr w:type="gramEnd"/>
      <w:r w:rsidRPr="00026DF6">
        <w:rPr>
          <w:rFonts w:asciiTheme="minorBidi" w:hAnsiTheme="minorBidi" w:cstheme="minorBidi"/>
          <w:b/>
          <w:bCs/>
          <w:sz w:val="36"/>
          <w:szCs w:val="36"/>
          <w:rtl/>
        </w:rPr>
        <w:t>:</w:t>
      </w:r>
    </w:p>
    <w:p w:rsidR="00842F77" w:rsidRPr="00026DF6" w:rsidRDefault="006828E1" w:rsidP="00026DF6">
      <w:pPr>
        <w:pStyle w:val="Notedebasdepage"/>
        <w:spacing w:line="360" w:lineRule="auto"/>
        <w:rPr>
          <w:rFonts w:asciiTheme="minorBidi" w:hAnsiTheme="minorBidi" w:cstheme="minorBidi"/>
          <w:sz w:val="36"/>
          <w:szCs w:val="36"/>
          <w:lang w:bidi="ar-SA"/>
        </w:rPr>
      </w:pPr>
      <w:r w:rsidRPr="00026DF6">
        <w:rPr>
          <w:rFonts w:asciiTheme="minorBidi" w:hAnsiTheme="minorBidi" w:cstheme="minorBidi"/>
          <w:sz w:val="36"/>
          <w:szCs w:val="36"/>
          <w:rtl/>
        </w:rPr>
        <w:t xml:space="preserve">1- </w:t>
      </w:r>
      <w:r w:rsidR="00842F77" w:rsidRPr="00026DF6">
        <w:rPr>
          <w:rFonts w:asciiTheme="minorBidi" w:hAnsiTheme="minorBidi" w:cstheme="minorBidi"/>
          <w:sz w:val="36"/>
          <w:szCs w:val="36"/>
          <w:rtl/>
        </w:rPr>
        <w:t>علي جعفر العلاق</w:t>
      </w:r>
      <w:r w:rsidR="00026DF6">
        <w:rPr>
          <w:rFonts w:asciiTheme="minorBidi" w:hAnsiTheme="minorBidi" w:cstheme="minorBidi" w:hint="cs"/>
          <w:sz w:val="36"/>
          <w:szCs w:val="36"/>
          <w:rtl/>
        </w:rPr>
        <w:t>:</w:t>
      </w:r>
      <w:r w:rsidR="00842F77" w:rsidRPr="00026DF6">
        <w:rPr>
          <w:rFonts w:asciiTheme="minorBidi" w:hAnsiTheme="minorBidi" w:cstheme="minorBidi"/>
          <w:sz w:val="36"/>
          <w:szCs w:val="36"/>
          <w:rtl/>
        </w:rPr>
        <w:t xml:space="preserve"> الشعر والتلقي، دار الشروق للنشر والتوزيع، عمان، الأردن،</w:t>
      </w:r>
      <w:r w:rsidR="00026DF6">
        <w:rPr>
          <w:rFonts w:asciiTheme="minorBidi" w:hAnsiTheme="minorBidi" w:cstheme="minorBidi" w:hint="cs"/>
          <w:sz w:val="36"/>
          <w:szCs w:val="36"/>
          <w:rtl/>
        </w:rPr>
        <w:t xml:space="preserve"> </w:t>
      </w:r>
      <w:proofErr w:type="spellStart"/>
      <w:r w:rsidR="00026DF6">
        <w:rPr>
          <w:rFonts w:asciiTheme="minorBidi" w:hAnsiTheme="minorBidi" w:cstheme="minorBidi" w:hint="cs"/>
          <w:sz w:val="36"/>
          <w:szCs w:val="36"/>
          <w:rtl/>
        </w:rPr>
        <w:t>ط1</w:t>
      </w:r>
      <w:proofErr w:type="spellEnd"/>
      <w:r w:rsidR="00026DF6">
        <w:rPr>
          <w:rFonts w:asciiTheme="minorBidi" w:hAnsiTheme="minorBidi" w:cstheme="minorBidi" w:hint="cs"/>
          <w:sz w:val="36"/>
          <w:szCs w:val="36"/>
          <w:rtl/>
        </w:rPr>
        <w:t>،</w:t>
      </w:r>
      <w:r w:rsidR="00842F77" w:rsidRPr="00026DF6">
        <w:rPr>
          <w:rFonts w:asciiTheme="minorBidi" w:hAnsiTheme="minorBidi" w:cstheme="minorBidi"/>
          <w:sz w:val="36"/>
          <w:szCs w:val="36"/>
          <w:rtl/>
        </w:rPr>
        <w:t xml:space="preserve"> 2002</w:t>
      </w:r>
      <w:r w:rsidR="00026DF6">
        <w:rPr>
          <w:rFonts w:asciiTheme="minorBidi" w:hAnsiTheme="minorBidi" w:cstheme="minorBidi" w:hint="cs"/>
          <w:sz w:val="36"/>
          <w:szCs w:val="36"/>
          <w:rtl/>
        </w:rPr>
        <w:t>.</w:t>
      </w:r>
    </w:p>
    <w:p w:rsidR="00842F77" w:rsidRPr="00026DF6" w:rsidRDefault="00842F77" w:rsidP="00026DF6">
      <w:pPr>
        <w:spacing w:after="0" w:line="360" w:lineRule="auto"/>
        <w:rPr>
          <w:rFonts w:asciiTheme="minorBidi" w:hAnsiTheme="minorBidi"/>
          <w:sz w:val="36"/>
          <w:szCs w:val="36"/>
          <w:lang w:bidi="ar-DZ"/>
        </w:rPr>
      </w:pPr>
      <w:r w:rsidRPr="00026DF6">
        <w:rPr>
          <w:rFonts w:asciiTheme="minorBidi" w:hAnsiTheme="minorBidi"/>
          <w:sz w:val="36"/>
          <w:szCs w:val="36"/>
          <w:rtl/>
        </w:rPr>
        <w:t xml:space="preserve"> </w:t>
      </w:r>
      <w:r w:rsidR="006828E1" w:rsidRPr="00026DF6">
        <w:rPr>
          <w:rFonts w:asciiTheme="minorBidi" w:hAnsiTheme="minorBidi"/>
          <w:sz w:val="36"/>
          <w:szCs w:val="36"/>
          <w:rtl/>
        </w:rPr>
        <w:t xml:space="preserve">2- </w:t>
      </w:r>
      <w:r w:rsidR="00026DF6">
        <w:rPr>
          <w:rFonts w:asciiTheme="minorBidi" w:hAnsiTheme="minorBidi"/>
          <w:sz w:val="36"/>
          <w:szCs w:val="36"/>
          <w:rtl/>
        </w:rPr>
        <w:t>ابن رشيق</w:t>
      </w:r>
      <w:r w:rsidR="00026DF6">
        <w:rPr>
          <w:rFonts w:asciiTheme="minorBidi" w:hAnsiTheme="minorBidi" w:hint="cs"/>
          <w:sz w:val="36"/>
          <w:szCs w:val="36"/>
          <w:rtl/>
        </w:rPr>
        <w:t>:</w:t>
      </w:r>
      <w:r w:rsidRPr="00026DF6">
        <w:rPr>
          <w:rFonts w:asciiTheme="minorBidi" w:hAnsiTheme="minorBidi"/>
          <w:sz w:val="36"/>
          <w:szCs w:val="36"/>
          <w:rtl/>
        </w:rPr>
        <w:t xml:space="preserve"> العمدة في محاسن الشعر وآدابه ونقده، </w:t>
      </w:r>
      <w:r w:rsidR="00026DF6">
        <w:rPr>
          <w:rFonts w:asciiTheme="minorBidi" w:hAnsiTheme="minorBidi"/>
          <w:sz w:val="36"/>
          <w:szCs w:val="36"/>
          <w:rtl/>
          <w:lang w:bidi="ar-DZ"/>
        </w:rPr>
        <w:t>ابن رشيق، تح هنداوي</w:t>
      </w:r>
      <w:r w:rsidR="00026DF6">
        <w:rPr>
          <w:rFonts w:asciiTheme="minorBidi" w:hAnsiTheme="minorBidi" w:hint="cs"/>
          <w:sz w:val="36"/>
          <w:szCs w:val="36"/>
          <w:rtl/>
          <w:lang w:bidi="ar-DZ"/>
        </w:rPr>
        <w:t xml:space="preserve"> </w:t>
      </w:r>
      <w:r w:rsidRPr="00026DF6">
        <w:rPr>
          <w:rFonts w:asciiTheme="minorBidi" w:hAnsiTheme="minorBidi"/>
          <w:sz w:val="36"/>
          <w:szCs w:val="36"/>
          <w:rtl/>
          <w:lang w:bidi="ar-DZ"/>
        </w:rPr>
        <w:t>عبد الحميد</w:t>
      </w:r>
      <w:r w:rsidR="00026DF6">
        <w:rPr>
          <w:rFonts w:asciiTheme="minorBidi" w:hAnsiTheme="minorBidi" w:hint="cs"/>
          <w:sz w:val="36"/>
          <w:szCs w:val="36"/>
          <w:rtl/>
          <w:lang w:bidi="ar-DZ"/>
        </w:rPr>
        <w:t>،</w:t>
      </w:r>
      <w:r w:rsidRPr="00026DF6">
        <w:rPr>
          <w:rFonts w:asciiTheme="minorBidi" w:hAnsiTheme="minorBidi"/>
          <w:sz w:val="36"/>
          <w:szCs w:val="36"/>
          <w:rtl/>
          <w:lang w:bidi="ar-DZ"/>
        </w:rPr>
        <w:t xml:space="preserve"> المكتبة العصرية صيدا ،بيروت</w:t>
      </w:r>
      <w:r w:rsidR="00026DF6">
        <w:rPr>
          <w:rFonts w:asciiTheme="minorBidi" w:hAnsiTheme="minorBidi" w:hint="cs"/>
          <w:sz w:val="36"/>
          <w:szCs w:val="36"/>
          <w:rtl/>
          <w:lang w:bidi="ar-DZ"/>
        </w:rPr>
        <w:t xml:space="preserve">، </w:t>
      </w:r>
      <w:proofErr w:type="spellStart"/>
      <w:r w:rsidR="00026DF6">
        <w:rPr>
          <w:rFonts w:asciiTheme="minorBidi" w:hAnsiTheme="minorBidi" w:hint="cs"/>
          <w:sz w:val="36"/>
          <w:szCs w:val="36"/>
          <w:rtl/>
          <w:lang w:bidi="ar-DZ"/>
        </w:rPr>
        <w:t>ط1</w:t>
      </w:r>
      <w:proofErr w:type="spellEnd"/>
      <w:r w:rsidRPr="00026DF6">
        <w:rPr>
          <w:rFonts w:asciiTheme="minorBidi" w:hAnsiTheme="minorBidi"/>
          <w:sz w:val="36"/>
          <w:szCs w:val="36"/>
          <w:rtl/>
          <w:lang w:bidi="ar-DZ"/>
        </w:rPr>
        <w:t xml:space="preserve"> ، </w:t>
      </w:r>
      <w:proofErr w:type="spellStart"/>
      <w:r w:rsidRPr="00026DF6">
        <w:rPr>
          <w:rFonts w:asciiTheme="minorBidi" w:hAnsiTheme="minorBidi"/>
          <w:sz w:val="36"/>
          <w:szCs w:val="36"/>
          <w:rtl/>
          <w:lang w:bidi="ar-DZ"/>
        </w:rPr>
        <w:t>1422ه</w:t>
      </w:r>
      <w:proofErr w:type="spellEnd"/>
      <w:r w:rsidRPr="00026DF6">
        <w:rPr>
          <w:rFonts w:asciiTheme="minorBidi" w:hAnsiTheme="minorBidi"/>
          <w:sz w:val="36"/>
          <w:szCs w:val="36"/>
          <w:rtl/>
          <w:lang w:bidi="ar-DZ"/>
        </w:rPr>
        <w:t xml:space="preserve">ـ/ </w:t>
      </w:r>
      <w:proofErr w:type="spellStart"/>
      <w:r w:rsidRPr="00026DF6">
        <w:rPr>
          <w:rFonts w:asciiTheme="minorBidi" w:hAnsiTheme="minorBidi"/>
          <w:sz w:val="36"/>
          <w:szCs w:val="36"/>
          <w:rtl/>
          <w:lang w:bidi="ar-DZ"/>
        </w:rPr>
        <w:t>2001م</w:t>
      </w:r>
      <w:proofErr w:type="spellEnd"/>
      <w:r w:rsidRPr="00026DF6">
        <w:rPr>
          <w:rFonts w:asciiTheme="minorBidi" w:hAnsiTheme="minorBidi"/>
          <w:sz w:val="36"/>
          <w:szCs w:val="36"/>
          <w:rtl/>
          <w:lang w:bidi="ar-DZ"/>
        </w:rPr>
        <w:t xml:space="preserve"> ، </w:t>
      </w:r>
      <w:proofErr w:type="spellStart"/>
      <w:r w:rsidRPr="00026DF6">
        <w:rPr>
          <w:rFonts w:asciiTheme="minorBidi" w:hAnsiTheme="minorBidi"/>
          <w:sz w:val="36"/>
          <w:szCs w:val="36"/>
          <w:rtl/>
        </w:rPr>
        <w:t>ج1</w:t>
      </w:r>
      <w:proofErr w:type="spellEnd"/>
      <w:r w:rsidR="00026DF6">
        <w:rPr>
          <w:rFonts w:asciiTheme="minorBidi" w:hAnsiTheme="minorBidi" w:hint="cs"/>
          <w:sz w:val="36"/>
          <w:szCs w:val="36"/>
          <w:rtl/>
        </w:rPr>
        <w:t>.</w:t>
      </w:r>
    </w:p>
    <w:p w:rsidR="00842F77" w:rsidRPr="00026DF6" w:rsidRDefault="006828E1" w:rsidP="00026DF6">
      <w:pPr>
        <w:pStyle w:val="Notedebasdepage"/>
        <w:spacing w:line="360" w:lineRule="auto"/>
        <w:rPr>
          <w:rFonts w:asciiTheme="minorBidi" w:hAnsiTheme="minorBidi" w:cstheme="minorBidi"/>
          <w:sz w:val="36"/>
          <w:szCs w:val="36"/>
          <w:lang w:bidi="ar-SA"/>
        </w:rPr>
      </w:pPr>
      <w:r w:rsidRPr="00026DF6">
        <w:rPr>
          <w:rStyle w:val="Appelnotedebasdep"/>
          <w:rFonts w:asciiTheme="minorBidi" w:hAnsiTheme="minorBidi" w:cstheme="minorBidi"/>
          <w:sz w:val="36"/>
          <w:szCs w:val="36"/>
          <w:vertAlign w:val="baseline"/>
          <w:rtl/>
        </w:rPr>
        <w:t>3</w:t>
      </w:r>
      <w:r w:rsidRPr="00026DF6">
        <w:rPr>
          <w:rFonts w:asciiTheme="minorBidi" w:hAnsiTheme="minorBidi" w:cstheme="minorBidi"/>
          <w:sz w:val="36"/>
          <w:szCs w:val="36"/>
          <w:rtl/>
        </w:rPr>
        <w:t xml:space="preserve">- </w:t>
      </w:r>
      <w:r w:rsidR="00842F77" w:rsidRPr="00026DF6">
        <w:rPr>
          <w:rFonts w:asciiTheme="minorBidi" w:hAnsiTheme="minorBidi" w:cstheme="minorBidi"/>
          <w:sz w:val="36"/>
          <w:szCs w:val="36"/>
          <w:rtl/>
        </w:rPr>
        <w:t xml:space="preserve">حازم </w:t>
      </w:r>
      <w:proofErr w:type="spellStart"/>
      <w:r w:rsidR="00842F77" w:rsidRPr="00026DF6">
        <w:rPr>
          <w:rFonts w:asciiTheme="minorBidi" w:hAnsiTheme="minorBidi" w:cstheme="minorBidi"/>
          <w:sz w:val="36"/>
          <w:szCs w:val="36"/>
          <w:rtl/>
        </w:rPr>
        <w:t>القرطاجني</w:t>
      </w:r>
      <w:proofErr w:type="spellEnd"/>
      <w:r w:rsidR="00842F77" w:rsidRPr="00026DF6">
        <w:rPr>
          <w:rFonts w:asciiTheme="minorBidi" w:hAnsiTheme="minorBidi" w:cstheme="minorBidi"/>
          <w:sz w:val="36"/>
          <w:szCs w:val="36"/>
          <w:rtl/>
        </w:rPr>
        <w:t>، منهاج البلغاء وسراج الأدباء، ت بن الخوجة، محمد الحبيب ، دار الغرب الإسلامي، بيروت لبنان،</w:t>
      </w:r>
      <w:r w:rsidR="00026DF6">
        <w:rPr>
          <w:rFonts w:asciiTheme="minorBidi" w:hAnsiTheme="minorBidi" w:cstheme="minorBidi" w:hint="cs"/>
          <w:sz w:val="36"/>
          <w:szCs w:val="36"/>
          <w:rtl/>
        </w:rPr>
        <w:t xml:space="preserve"> </w:t>
      </w:r>
      <w:proofErr w:type="spellStart"/>
      <w:r w:rsidR="00026DF6">
        <w:rPr>
          <w:rFonts w:asciiTheme="minorBidi" w:hAnsiTheme="minorBidi" w:cstheme="minorBidi" w:hint="cs"/>
          <w:sz w:val="36"/>
          <w:szCs w:val="36"/>
          <w:rtl/>
        </w:rPr>
        <w:t>ط2</w:t>
      </w:r>
      <w:proofErr w:type="spellEnd"/>
      <w:r w:rsidR="00026DF6">
        <w:rPr>
          <w:rFonts w:asciiTheme="minorBidi" w:hAnsiTheme="minorBidi" w:cstheme="minorBidi" w:hint="cs"/>
          <w:sz w:val="36"/>
          <w:szCs w:val="36"/>
          <w:rtl/>
        </w:rPr>
        <w:t>،</w:t>
      </w:r>
      <w:r w:rsidR="00842F77" w:rsidRPr="00026DF6">
        <w:rPr>
          <w:rFonts w:asciiTheme="minorBidi" w:hAnsiTheme="minorBidi" w:cstheme="minorBidi"/>
          <w:sz w:val="36"/>
          <w:szCs w:val="36"/>
          <w:rtl/>
        </w:rPr>
        <w:t xml:space="preserve"> 1981 م</w:t>
      </w:r>
      <w:r w:rsidRPr="00026DF6">
        <w:rPr>
          <w:rFonts w:asciiTheme="minorBidi" w:hAnsiTheme="minorBidi" w:cstheme="minorBidi"/>
          <w:sz w:val="36"/>
          <w:szCs w:val="36"/>
          <w:rtl/>
        </w:rPr>
        <w:t>.</w:t>
      </w:r>
    </w:p>
    <w:p w:rsidR="00842F77" w:rsidRPr="00026DF6" w:rsidRDefault="006828E1" w:rsidP="00026DF6">
      <w:pPr>
        <w:pStyle w:val="Notedebasdepage"/>
        <w:spacing w:line="360" w:lineRule="auto"/>
        <w:rPr>
          <w:rFonts w:asciiTheme="minorBidi" w:hAnsiTheme="minorBidi" w:cstheme="minorBidi"/>
          <w:sz w:val="36"/>
          <w:szCs w:val="36"/>
        </w:rPr>
      </w:pPr>
      <w:r w:rsidRPr="00026DF6">
        <w:rPr>
          <w:rFonts w:asciiTheme="minorBidi" w:hAnsiTheme="minorBidi" w:cstheme="minorBidi"/>
          <w:sz w:val="36"/>
          <w:szCs w:val="36"/>
          <w:rtl/>
        </w:rPr>
        <w:lastRenderedPageBreak/>
        <w:t>4-</w:t>
      </w:r>
      <w:r w:rsidR="00842F77" w:rsidRPr="00026DF6">
        <w:rPr>
          <w:rFonts w:asciiTheme="minorBidi" w:hAnsiTheme="minorBidi" w:cstheme="minorBidi"/>
          <w:sz w:val="36"/>
          <w:szCs w:val="36"/>
          <w:rtl/>
        </w:rPr>
        <w:t xml:space="preserve"> يوسف أبو العدوس، موسيقى الشعر وعلم العروض، الأهلية للنشر والتوزيع، عمان، الأردن،</w:t>
      </w:r>
      <w:r w:rsidR="00026DF6">
        <w:rPr>
          <w:rFonts w:asciiTheme="minorBidi" w:hAnsiTheme="minorBidi" w:cstheme="minorBidi" w:hint="cs"/>
          <w:sz w:val="36"/>
          <w:szCs w:val="36"/>
          <w:rtl/>
        </w:rPr>
        <w:t xml:space="preserve"> </w:t>
      </w:r>
      <w:proofErr w:type="spellStart"/>
      <w:r w:rsidR="00026DF6">
        <w:rPr>
          <w:rFonts w:asciiTheme="minorBidi" w:hAnsiTheme="minorBidi" w:cstheme="minorBidi" w:hint="cs"/>
          <w:sz w:val="36"/>
          <w:szCs w:val="36"/>
          <w:rtl/>
        </w:rPr>
        <w:t>ط1</w:t>
      </w:r>
      <w:proofErr w:type="spellEnd"/>
      <w:r w:rsidR="00026DF6">
        <w:rPr>
          <w:rFonts w:asciiTheme="minorBidi" w:hAnsiTheme="minorBidi" w:cstheme="minorBidi" w:hint="cs"/>
          <w:sz w:val="36"/>
          <w:szCs w:val="36"/>
          <w:rtl/>
        </w:rPr>
        <w:t>،</w:t>
      </w:r>
      <w:r w:rsidR="00842F77" w:rsidRPr="00026DF6">
        <w:rPr>
          <w:rFonts w:asciiTheme="minorBidi" w:hAnsiTheme="minorBidi" w:cstheme="minorBidi"/>
          <w:sz w:val="36"/>
          <w:szCs w:val="36"/>
          <w:rtl/>
        </w:rPr>
        <w:t xml:space="preserve"> 1999، ص: 250.</w:t>
      </w:r>
    </w:p>
    <w:p w:rsidR="00511527" w:rsidRPr="00026DF6" w:rsidRDefault="00511527" w:rsidP="00026DF6">
      <w:pPr>
        <w:spacing w:line="360" w:lineRule="auto"/>
        <w:rPr>
          <w:rFonts w:asciiTheme="minorBidi" w:hAnsiTheme="minorBidi"/>
          <w:sz w:val="36"/>
          <w:szCs w:val="36"/>
          <w:lang w:val="fr-FR"/>
        </w:rPr>
      </w:pPr>
      <w:bookmarkStart w:id="0" w:name="_GoBack"/>
      <w:bookmarkEnd w:id="0"/>
    </w:p>
    <w:sectPr w:rsidR="00511527" w:rsidRPr="00026DF6" w:rsidSect="00F6183B">
      <w:footerReference w:type="default" r:id="rId7"/>
      <w:pgSz w:w="11906" w:h="16838"/>
      <w:pgMar w:top="1418" w:right="1418" w:bottom="22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F77" w:rsidRDefault="00842F77" w:rsidP="00842F77">
      <w:pPr>
        <w:spacing w:after="0" w:line="240" w:lineRule="auto"/>
      </w:pPr>
      <w:r>
        <w:separator/>
      </w:r>
    </w:p>
  </w:endnote>
  <w:endnote w:type="continuationSeparator" w:id="0">
    <w:p w:rsidR="00842F77" w:rsidRDefault="00842F77" w:rsidP="00842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9A" w:rsidRDefault="00F66DA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F77" w:rsidRDefault="00842F77" w:rsidP="00842F77">
      <w:pPr>
        <w:spacing w:after="0" w:line="240" w:lineRule="auto"/>
      </w:pPr>
      <w:r>
        <w:separator/>
      </w:r>
    </w:p>
  </w:footnote>
  <w:footnote w:type="continuationSeparator" w:id="0">
    <w:p w:rsidR="00842F77" w:rsidRDefault="00842F77" w:rsidP="00842F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551"/>
    <w:rsid w:val="00026DF6"/>
    <w:rsid w:val="00511527"/>
    <w:rsid w:val="005F1A67"/>
    <w:rsid w:val="006828E1"/>
    <w:rsid w:val="006B6551"/>
    <w:rsid w:val="00842F77"/>
    <w:rsid w:val="00F66DA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F77"/>
    <w:pPr>
      <w:bidi/>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42F77"/>
    <w:pPr>
      <w:spacing w:after="0" w:line="240" w:lineRule="auto"/>
      <w:jc w:val="both"/>
    </w:pPr>
    <w:rPr>
      <w:rFonts w:ascii="Simplified Arabic" w:eastAsiaTheme="minorHAnsi" w:hAnsi="Simplified Arabic" w:cs="Simplified Arabic"/>
      <w:sz w:val="20"/>
      <w:szCs w:val="20"/>
      <w:lang w:val="fr-FR" w:bidi="ar-DZ"/>
    </w:rPr>
  </w:style>
  <w:style w:type="character" w:customStyle="1" w:styleId="NotedebasdepageCar">
    <w:name w:val="Note de bas de page Car"/>
    <w:basedOn w:val="Policepardfaut"/>
    <w:link w:val="Notedebasdepage"/>
    <w:uiPriority w:val="99"/>
    <w:rsid w:val="00842F77"/>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842F77"/>
    <w:rPr>
      <w:vertAlign w:val="superscript"/>
    </w:rPr>
  </w:style>
  <w:style w:type="paragraph" w:styleId="Pieddepage">
    <w:name w:val="footer"/>
    <w:basedOn w:val="Normal"/>
    <w:link w:val="PieddepageCar"/>
    <w:uiPriority w:val="99"/>
    <w:unhideWhenUsed/>
    <w:rsid w:val="00842F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2F77"/>
    <w:rPr>
      <w:rFonts w:eastAsiaTheme="minorEastAsia"/>
      <w:lang w:val="en-US"/>
    </w:rPr>
  </w:style>
  <w:style w:type="paragraph" w:styleId="En-tte">
    <w:name w:val="header"/>
    <w:basedOn w:val="Normal"/>
    <w:link w:val="En-tteCar"/>
    <w:uiPriority w:val="99"/>
    <w:unhideWhenUsed/>
    <w:rsid w:val="005F1A67"/>
    <w:pPr>
      <w:tabs>
        <w:tab w:val="center" w:pos="4536"/>
        <w:tab w:val="right" w:pos="9072"/>
      </w:tabs>
      <w:spacing w:after="0" w:line="240" w:lineRule="auto"/>
    </w:pPr>
  </w:style>
  <w:style w:type="character" w:customStyle="1" w:styleId="En-tteCar">
    <w:name w:val="En-tête Car"/>
    <w:basedOn w:val="Policepardfaut"/>
    <w:link w:val="En-tte"/>
    <w:uiPriority w:val="99"/>
    <w:rsid w:val="005F1A67"/>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F77"/>
    <w:pPr>
      <w:bidi/>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42F77"/>
    <w:pPr>
      <w:spacing w:after="0" w:line="240" w:lineRule="auto"/>
      <w:jc w:val="both"/>
    </w:pPr>
    <w:rPr>
      <w:rFonts w:ascii="Simplified Arabic" w:eastAsiaTheme="minorHAnsi" w:hAnsi="Simplified Arabic" w:cs="Simplified Arabic"/>
      <w:sz w:val="20"/>
      <w:szCs w:val="20"/>
      <w:lang w:val="fr-FR" w:bidi="ar-DZ"/>
    </w:rPr>
  </w:style>
  <w:style w:type="character" w:customStyle="1" w:styleId="NotedebasdepageCar">
    <w:name w:val="Note de bas de page Car"/>
    <w:basedOn w:val="Policepardfaut"/>
    <w:link w:val="Notedebasdepage"/>
    <w:uiPriority w:val="99"/>
    <w:rsid w:val="00842F77"/>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842F77"/>
    <w:rPr>
      <w:vertAlign w:val="superscript"/>
    </w:rPr>
  </w:style>
  <w:style w:type="paragraph" w:styleId="Pieddepage">
    <w:name w:val="footer"/>
    <w:basedOn w:val="Normal"/>
    <w:link w:val="PieddepageCar"/>
    <w:uiPriority w:val="99"/>
    <w:unhideWhenUsed/>
    <w:rsid w:val="00842F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2F77"/>
    <w:rPr>
      <w:rFonts w:eastAsiaTheme="minorEastAsia"/>
      <w:lang w:val="en-US"/>
    </w:rPr>
  </w:style>
  <w:style w:type="paragraph" w:styleId="En-tte">
    <w:name w:val="header"/>
    <w:basedOn w:val="Normal"/>
    <w:link w:val="En-tteCar"/>
    <w:uiPriority w:val="99"/>
    <w:unhideWhenUsed/>
    <w:rsid w:val="005F1A67"/>
    <w:pPr>
      <w:tabs>
        <w:tab w:val="center" w:pos="4536"/>
        <w:tab w:val="right" w:pos="9072"/>
      </w:tabs>
      <w:spacing w:after="0" w:line="240" w:lineRule="auto"/>
    </w:pPr>
  </w:style>
  <w:style w:type="character" w:customStyle="1" w:styleId="En-tteCar">
    <w:name w:val="En-tête Car"/>
    <w:basedOn w:val="Policepardfaut"/>
    <w:link w:val="En-tte"/>
    <w:uiPriority w:val="99"/>
    <w:rsid w:val="005F1A6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530</Words>
  <Characters>2916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2021-02-05T20:07:00Z</dcterms:created>
  <dcterms:modified xsi:type="dcterms:W3CDTF">2021-02-05T20:35:00Z</dcterms:modified>
</cp:coreProperties>
</file>