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309" w:rsidRDefault="003E75A6" w:rsidP="005C5309">
      <w:pPr>
        <w:bidi/>
        <w:ind w:firstLine="397"/>
        <w:jc w:val="both"/>
        <w:rPr>
          <w:rFonts w:ascii="Sakkal Majalla" w:hAnsi="Sakkal Majalla" w:cs="Sakkal Majalla"/>
          <w:b/>
          <w:bCs/>
          <w:color w:val="000000"/>
          <w:sz w:val="32"/>
          <w:szCs w:val="32"/>
          <w:lang w:bidi="ar-DZ"/>
        </w:rPr>
      </w:pPr>
      <w:r>
        <w:rPr>
          <w:rFonts w:ascii="Sakkal Majalla" w:hAnsi="Sakkal Majalla" w:cs="Sakkal Majalla"/>
          <w:b/>
          <w:bCs/>
          <w:color w:val="000000"/>
          <w:sz w:val="32"/>
          <w:szCs w:val="32"/>
          <w:rtl/>
          <w:lang w:bidi="ar-DZ"/>
        </w:rPr>
        <w:t>المحاضرة</w:t>
      </w:r>
      <w:r>
        <w:rPr>
          <w:rFonts w:ascii="Sakkal Majalla" w:hAnsi="Sakkal Majalla" w:cs="Sakkal Majalla" w:hint="cs"/>
          <w:b/>
          <w:bCs/>
          <w:color w:val="000000"/>
          <w:sz w:val="32"/>
          <w:szCs w:val="32"/>
          <w:rtl/>
          <w:lang w:bidi="ar-DZ"/>
        </w:rPr>
        <w:t xml:space="preserve"> العاشرة و الحادي عشر:</w:t>
      </w:r>
      <w:bookmarkStart w:id="0" w:name="_GoBack"/>
      <w:bookmarkEnd w:id="0"/>
      <w:r w:rsidR="005C5309">
        <w:rPr>
          <w:rFonts w:ascii="Sakkal Majalla" w:hAnsi="Sakkal Majalla" w:cs="Sakkal Majalla"/>
          <w:b/>
          <w:bCs/>
          <w:color w:val="000000"/>
          <w:sz w:val="32"/>
          <w:szCs w:val="32"/>
          <w:rtl/>
          <w:lang w:bidi="ar-DZ"/>
        </w:rPr>
        <w:t xml:space="preserve"> من البنيوية إلى التفكيكية إلى نظريات القراءة و التلقي : </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هكذا يرتحل النسق الفلسفي والمعرفي الغربي من طور التمركز حول الذات، وفق الكوجي</w:t>
      </w:r>
      <w:r>
        <w:rPr>
          <w:rFonts w:ascii="Sakkal Majalla" w:hAnsi="Sakkal Majalla" w:cs="Sakkal Majalla"/>
          <w:color w:val="000000"/>
          <w:sz w:val="32"/>
          <w:szCs w:val="32"/>
          <w:rtl/>
        </w:rPr>
        <w:t>ط</w:t>
      </w:r>
      <w:r>
        <w:rPr>
          <w:rFonts w:ascii="Sakkal Majalla" w:hAnsi="Sakkal Majalla" w:cs="Sakkal Majalla"/>
          <w:color w:val="000000"/>
          <w:sz w:val="32"/>
          <w:szCs w:val="32"/>
          <w:rtl/>
          <w:lang w:bidi="ar-DZ"/>
        </w:rPr>
        <w:t>و الديكارتي، الذي يعتبر خطابًا مبدئيًا للإصلاح الديني والمدني، على شاكلة المقولة التي لخصت الموضوع والذات في حيز واحد.</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حيث المفكر والمفكر فيه موضوعًا وذاتًا، إلى طور اللاتمركز وهو خط واحد اشتغلت فيه المراجعة الذاتية الغربية لتتجاوز المآزق الابستمولوجية والأنطولوجية للإنسان الغربي.</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يصبو هذا البحث للعناية بأحد أهم المحمولات الغربية التي أوجدتها النقلة الفلسفية من المنظور الغربي لما بعد الحداثة وهو التفكيك </w:t>
      </w:r>
      <w:r>
        <w:rPr>
          <w:rFonts w:ascii="Sakkal Majalla" w:hAnsi="Sakkal Majalla" w:cs="Sakkal Majalla"/>
          <w:color w:val="000000"/>
          <w:sz w:val="32"/>
          <w:szCs w:val="32"/>
          <w:lang w:bidi="ar-DZ"/>
        </w:rPr>
        <w:t>Déconstruction</w:t>
      </w:r>
      <w:r>
        <w:rPr>
          <w:rFonts w:ascii="Sakkal Majalla" w:hAnsi="Sakkal Majalla" w:cs="Sakkal Majalla"/>
          <w:color w:val="000000"/>
          <w:sz w:val="32"/>
          <w:szCs w:val="32"/>
          <w:rtl/>
          <w:lang w:bidi="ar-DZ"/>
        </w:rPr>
        <w:t xml:space="preserve"> وقبل أن نعاين المصطلح نعرج قليلا على الإطار التنظيري الذي ضخ هذا الخطاب.</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إن التفكيك فيما يتصور دريدا </w:t>
      </w:r>
      <w:r>
        <w:rPr>
          <w:rFonts w:ascii="Sakkal Majalla" w:hAnsi="Sakkal Majalla" w:cs="Sakkal Majalla"/>
          <w:color w:val="000000"/>
          <w:sz w:val="32"/>
          <w:szCs w:val="32"/>
          <w:lang w:bidi="ar-DZ"/>
        </w:rPr>
        <w:t>Jacques Derrida</w:t>
      </w:r>
      <w:r>
        <w:rPr>
          <w:rStyle w:val="Appelnotedebasdep"/>
          <w:rFonts w:ascii="Sakkal Majalla" w:hAnsi="Sakkal Majalla" w:cs="Sakkal Majalla"/>
          <w:color w:val="000000"/>
          <w:sz w:val="32"/>
          <w:szCs w:val="32"/>
          <w:lang w:bidi="ar-DZ"/>
        </w:rPr>
        <w:footnoteReference w:customMarkFollows="1" w:id="1"/>
        <w:sym w:font="Symbol" w:char="F0B7"/>
      </w:r>
      <w:r>
        <w:rPr>
          <w:rFonts w:ascii="Sakkal Majalla" w:hAnsi="Sakkal Majalla" w:cs="Sakkal Majalla"/>
          <w:color w:val="000000"/>
          <w:sz w:val="32"/>
          <w:szCs w:val="32"/>
          <w:rtl/>
          <w:lang w:bidi="ar-DZ"/>
        </w:rPr>
        <w:t xml:space="preserve"> هو أحد المصطلحات التي أفرزها نسق القراءة للمحصول الفلسفي الغربي حيث</w:t>
      </w:r>
      <w:r>
        <w:rPr>
          <w:rFonts w:ascii="Sakkal Majalla" w:hAnsi="Sakkal Majalla" w:cs="Sakkal Majalla"/>
          <w:color w:val="000000"/>
          <w:sz w:val="32"/>
          <w:szCs w:val="32"/>
          <w:rtl/>
        </w:rPr>
        <w:t>يدي</w:t>
      </w:r>
      <w:r>
        <w:rPr>
          <w:rFonts w:ascii="Sakkal Majalla" w:hAnsi="Sakkal Majalla" w:cs="Sakkal Majalla"/>
          <w:color w:val="000000"/>
          <w:sz w:val="32"/>
          <w:szCs w:val="32"/>
          <w:rtl/>
          <w:lang w:bidi="ar-DZ"/>
        </w:rPr>
        <w:t>ن في انبجاسها لمسار التفلسف الغربي والنقود التي قدمت لأهم المشاريع الفلسفية خاصة مشروعي هوسرل – هيدغر.</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وفيه أعادت التفكيكية النظر في المقولات التقليدية حيث ((سعى دريدا جاهدًا لقهر التقسيم التقليدي بين الخطاب الفلسفي والخطاب الجمالي، وتستند رؤيته في هذا الأمر إلى كشفه: إن الحضارة الغربية نهضت حول العقل والمنطق))</w:t>
      </w:r>
      <w:r>
        <w:rPr>
          <w:rStyle w:val="Appelnotedebasdep"/>
          <w:rFonts w:ascii="Sakkal Majalla" w:hAnsi="Sakkal Majalla" w:cs="Sakkal Majalla"/>
          <w:color w:val="000000"/>
          <w:sz w:val="32"/>
          <w:szCs w:val="32"/>
          <w:rtl/>
          <w:lang w:bidi="ar-DZ"/>
        </w:rPr>
        <w:footnoteReference w:id="2"/>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ففي كتابه ((مقالة الطريقة)) ((يقول ديكارت)): ((أنا أفكر، فإذن أنا موجود))</w:t>
      </w:r>
      <w:r>
        <w:rPr>
          <w:rStyle w:val="Appelnotedebasdep"/>
          <w:rFonts w:ascii="Sakkal Majalla" w:hAnsi="Sakkal Majalla" w:cs="Sakkal Majalla"/>
          <w:color w:val="000000"/>
          <w:sz w:val="32"/>
          <w:szCs w:val="32"/>
          <w:rtl/>
          <w:lang w:bidi="ar-DZ"/>
        </w:rPr>
        <w:footnoteReference w:id="3"/>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هذه المقولة التي دفعت ديكارت إلى تصور مفهوم مكتمل للحقيقة التي لا يمكنها أن تكون خارج، ضد التفكير لأن: ((الوجود واجب للتفكير))</w:t>
      </w:r>
      <w:r>
        <w:rPr>
          <w:rStyle w:val="Appelnotedebasdep"/>
          <w:rFonts w:ascii="Sakkal Majalla" w:hAnsi="Sakkal Majalla" w:cs="Sakkal Majalla"/>
          <w:color w:val="000000"/>
          <w:sz w:val="32"/>
          <w:szCs w:val="32"/>
          <w:rtl/>
          <w:lang w:bidi="ar-DZ"/>
        </w:rPr>
        <w:footnoteReference w:id="4"/>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فالكوجيتو الديكارتي يطلعنا على شيئين اثنين:</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((إنه يطلعنا –أولًا- على ماهية نفسه كجوهر مفكر، و–ثانيًا- على مثال للحقيقة النفسية التي يستخرج منها الشروط التي يجب أن تتوافر في الشيء ليكون صحيحًا، ولكنه يقف به عند هذا الحد إذ يفصله عن كل ما سواه))</w:t>
      </w:r>
      <w:r>
        <w:rPr>
          <w:rStyle w:val="Appelnotedebasdep"/>
          <w:rFonts w:ascii="Sakkal Majalla" w:hAnsi="Sakkal Majalla" w:cs="Sakkal Majalla"/>
          <w:color w:val="000000"/>
          <w:sz w:val="32"/>
          <w:szCs w:val="32"/>
          <w:rtl/>
          <w:lang w:bidi="ar-DZ"/>
        </w:rPr>
        <w:footnoteReference w:id="5"/>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وبهذا الكوجيتو ركز ديكارت الغرب على طريق التفلسف، به دفع الإصلاح في المنظومة نحو المغايرة التي تبحث في البدائل، بل إن الفلسفة عنده حق، وهي فعل تأسيسي إنها ممارسة لشرعنة الفكر.</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فالأسئلة التأسيسية حول العلوم والمعارف هي من طبيعة فلسفية</w:t>
      </w:r>
      <w:r>
        <w:rPr>
          <w:rFonts w:ascii="Sakkal Majalla" w:hAnsi="Sakkal Majalla" w:cs="Sakkal Majalla"/>
          <w:color w:val="000000"/>
          <w:sz w:val="32"/>
          <w:szCs w:val="32"/>
          <w:lang w:val="en-US" w:bidi="ar-DZ"/>
        </w:rPr>
        <w:t xml:space="preserve"> </w:t>
      </w:r>
      <w:r>
        <w:rPr>
          <w:rStyle w:val="Appelnotedebasdep"/>
          <w:rFonts w:ascii="Sakkal Majalla" w:hAnsi="Sakkal Majalla" w:cs="Sakkal Majalla"/>
          <w:color w:val="000000"/>
          <w:sz w:val="32"/>
          <w:szCs w:val="32"/>
          <w:lang w:bidi="ar-DZ"/>
        </w:rPr>
        <w:footnoteReference w:customMarkFollows="1" w:id="6"/>
        <w:sym w:font="Symbol" w:char="F0B7"/>
      </w:r>
      <w:r>
        <w:rPr>
          <w:rFonts w:ascii="Sakkal Majalla" w:hAnsi="Sakkal Majalla" w:cs="Sakkal Majalla"/>
          <w:color w:val="000000"/>
          <w:sz w:val="32"/>
          <w:szCs w:val="32"/>
          <w:rtl/>
          <w:lang w:bidi="ar-DZ"/>
        </w:rPr>
        <w:t>والتي تخلف استمرارية للحدث الغربي، فهو نقلة في الزمان والمكان، ((والنقلة كما يدل عليها اسمها إنما هي حركة بين سكونين(...).</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ولو دققنا في التعريف القديم للحركة من حيث إنها نقلة بين سكونين، لوجدنا أن تصور النقلة ذاته إنما يعني تجاوز نقاط المسافة المقطوعة، والمسافة هي سلسلة مؤلفة من نقاط، من سكونات متحاورة متلاصقة</w:t>
      </w:r>
      <w:r>
        <w:rPr>
          <w:rStyle w:val="Appelnotedebasdep"/>
          <w:rFonts w:ascii="Sakkal Majalla" w:hAnsi="Sakkal Majalla" w:cs="Sakkal Majalla"/>
          <w:color w:val="000000"/>
          <w:sz w:val="32"/>
          <w:szCs w:val="32"/>
          <w:rtl/>
          <w:lang w:bidi="ar-DZ"/>
        </w:rPr>
        <w:footnoteReference w:id="7"/>
      </w:r>
      <w:r>
        <w:rPr>
          <w:rFonts w:ascii="Sakkal Majalla" w:hAnsi="Sakkal Majalla" w:cs="Sakkal Majalla"/>
          <w:color w:val="000000"/>
          <w:sz w:val="32"/>
          <w:szCs w:val="32"/>
          <w:rtl/>
          <w:lang w:bidi="ar-DZ"/>
        </w:rPr>
        <w:t>، ولعل هذا ما دفع بدريدا إلى نقد هذه المقولات التقليدية:</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مقولة الحضور.</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مقولة الميتافيزيقا.</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فهو قتل رمزي: يسقط ويهوي فيه الذاتي ويتنامى اللاعقلي، حيث ((يظل فردريك نيتشه(1844- 1900)، بالنسبة للفلاسفة المحدثين هو مثله بالنسبة لمعاصريه: فضيحة تلفها طبقات من الغموض، ويسميه أحد ردود الفعل الحديثة بأنه سلف رهيب للظاهرة النازية، بمعنى أنه مفكر مهدت نظراته اللاعقلانية المفترضة، (...).</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غير أن نيتشه قام جنبًا إلى جنب مع تلك الكتابات/ دراسات نقدية للفلسفة الغربية ومعطياتها المسبقة ومع ذلك لم تعقد تلك الدراسة، أي التي من قدرتها على الإشارة رتب الاضطراب، وهذا الجانب في نيتشه هو الذي أثر مع التفكيكية من حيث النظرية والممارسة))</w:t>
      </w:r>
      <w:r>
        <w:rPr>
          <w:rStyle w:val="Appelnotedebasdep"/>
          <w:rFonts w:ascii="Sakkal Majalla" w:hAnsi="Sakkal Majalla" w:cs="Sakkal Majalla"/>
          <w:color w:val="000000"/>
          <w:sz w:val="32"/>
          <w:szCs w:val="32"/>
          <w:rtl/>
          <w:lang w:bidi="ar-DZ"/>
        </w:rPr>
        <w:footnoteReference w:id="8"/>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حيث اشتغلت التفكيكية وقامت على مراجعة هذه المقولات المركزية في الحضارة الغربية ولعل أهم ما استند إليه المشروع الدريدي هو:</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نقد مقولة التمركز حول العقل</w:t>
      </w:r>
      <w:r>
        <w:rPr>
          <w:rFonts w:ascii="Sakkal Majalla" w:hAnsi="Sakkal Majalla" w:cs="Sakkal Majalla"/>
          <w:color w:val="000000"/>
          <w:sz w:val="32"/>
          <w:szCs w:val="32"/>
          <w:lang w:bidi="ar-DZ"/>
        </w:rPr>
        <w:t>Logocentrisme</w:t>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 نقد مقولة التمركز حول الصوت </w:t>
      </w:r>
      <w:r>
        <w:rPr>
          <w:rFonts w:ascii="Sakkal Majalla" w:hAnsi="Sakkal Majalla" w:cs="Sakkal Majalla"/>
          <w:color w:val="000000"/>
          <w:sz w:val="32"/>
          <w:szCs w:val="32"/>
          <w:lang w:bidi="ar-DZ"/>
        </w:rPr>
        <w:t>Phonocentrisme</w:t>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EG"/>
        </w:rPr>
      </w:pPr>
      <w:r>
        <w:rPr>
          <w:rFonts w:ascii="Sakkal Majalla" w:hAnsi="Sakkal Majalla" w:cs="Sakkal Majalla"/>
          <w:color w:val="000000"/>
          <w:sz w:val="32"/>
          <w:szCs w:val="32"/>
          <w:rtl/>
          <w:lang w:bidi="ar-DZ"/>
        </w:rPr>
        <w:t>وانطلاقًا من هذا المنظور، عملت المقولتان الآنفتان على قراءة المرتكزات والارتهانات التي قادت الفكر الغربي كله، حيث استقرأت المقولة الأولى نقد سلطة العقل في الحضارة الغربية: فهي نقد يعتمد الحفر في الأنساق المعرفية انطلاقًا من أرسطو وأفلاطون، مرورًا بديكارت وكانط ووصولًا إلى هيدغر وهوسرل، أما المقولة الثانية فقد شكلت معادلة قلبت التراث الغربي للكتابة</w:t>
      </w:r>
      <w:r>
        <w:rPr>
          <w:rFonts w:ascii="Sakkal Majalla" w:hAnsi="Sakkal Majalla" w:cs="Sakkal Majalla"/>
          <w:color w:val="000000"/>
          <w:sz w:val="32"/>
          <w:szCs w:val="32"/>
          <w:lang w:bidi="ar-DZ"/>
        </w:rPr>
        <w:t>Grammatologie</w:t>
      </w:r>
      <w:r>
        <w:rPr>
          <w:rFonts w:ascii="Sakkal Majalla" w:hAnsi="Sakkal Majalla" w:cs="Sakkal Majalla"/>
          <w:color w:val="000000"/>
          <w:sz w:val="32"/>
          <w:szCs w:val="32"/>
          <w:rtl/>
          <w:lang w:bidi="ar-DZ"/>
        </w:rPr>
        <w:t xml:space="preserve"> على حساب الصوت فعن طريق الكتابة يريد أن يبني منطقا جديدا</w:t>
      </w:r>
      <w:r>
        <w:rPr>
          <w:rStyle w:val="Appelnotedebasdep"/>
          <w:rFonts w:ascii="Sakkal Majalla" w:hAnsi="Sakkal Majalla" w:cs="Sakkal Majalla"/>
          <w:color w:val="000000"/>
          <w:sz w:val="32"/>
          <w:szCs w:val="32"/>
          <w:rtl/>
          <w:lang w:bidi="ar-DZ"/>
        </w:rPr>
        <w:footnoteReference w:id="9"/>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 الذي لا يمكن أن نستبعده هو أن مشروع دريدا استقر بالأساس كحلقة تابعة للثورة التي أعلنها نيتشه، فهو يريد أن يثبت الانعطاف، ذلك ((التحول الانعطافي الرئيسي الذي أصاب نظام الأنظمة المعرفية في أساس المشروع الثقافي الغربي، عندما لم يعلن فقط عن موت الإله في ذاته ولكن موته في الإنسان))</w:t>
      </w:r>
      <w:r>
        <w:rPr>
          <w:rStyle w:val="Appelnotedebasdep"/>
          <w:rFonts w:ascii="Sakkal Majalla" w:hAnsi="Sakkal Majalla" w:cs="Sakkal Majalla"/>
          <w:color w:val="000000"/>
          <w:sz w:val="32"/>
          <w:szCs w:val="32"/>
          <w:rtl/>
          <w:lang w:bidi="ar-DZ"/>
        </w:rPr>
        <w:footnoteReference w:id="10"/>
      </w:r>
      <w:r>
        <w:rPr>
          <w:rFonts w:ascii="Sakkal Majalla" w:hAnsi="Sakkal Majalla" w:cs="Sakkal Majalla"/>
          <w:color w:val="000000"/>
          <w:sz w:val="32"/>
          <w:szCs w:val="32"/>
          <w:rtl/>
          <w:lang w:bidi="ar-DZ"/>
        </w:rPr>
        <w:t xml:space="preserve"> أي موت الحضور والصوت الدفين الذي يعلق الموجود على خارج وجوده.</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إذًا وانطلاقًا مما تمت معاينته، فإن كل الإشكاليات التي عالجها الفكر الغربي انطلقت من معالجة أساسية لمشكلة الكينونة، من خلال ما بينه دريدا في كتاب </w:t>
      </w:r>
      <w:r>
        <w:rPr>
          <w:rFonts w:ascii="Sakkal Majalla" w:hAnsi="Sakkal Majalla" w:cs="Sakkal Majalla"/>
          <w:color w:val="000000"/>
          <w:sz w:val="32"/>
          <w:szCs w:val="32"/>
          <w:lang w:bidi="ar-DZ"/>
        </w:rPr>
        <w:t>Marges de la philosophie</w:t>
      </w:r>
      <w:r>
        <w:rPr>
          <w:rStyle w:val="Appelnotedebasdep"/>
          <w:rFonts w:ascii="Sakkal Majalla" w:hAnsi="Sakkal Majalla" w:cs="Sakkal Majalla"/>
          <w:color w:val="000000"/>
          <w:sz w:val="32"/>
          <w:szCs w:val="32"/>
          <w:lang w:bidi="ar-DZ"/>
        </w:rPr>
        <w:footnoteReference w:customMarkFollows="1" w:id="11"/>
        <w:sym w:font="Symbol" w:char="F0B7"/>
      </w:r>
      <w:r>
        <w:rPr>
          <w:rFonts w:ascii="Sakkal Majalla" w:hAnsi="Sakkal Majalla" w:cs="Sakkal Majalla"/>
          <w:color w:val="000000"/>
          <w:sz w:val="32"/>
          <w:szCs w:val="32"/>
          <w:rtl/>
          <w:lang w:bidi="ar-DZ"/>
        </w:rPr>
        <w:t xml:space="preserve">وهنا </w:t>
      </w:r>
      <w:r>
        <w:rPr>
          <w:rFonts w:ascii="Sakkal Majalla" w:hAnsi="Sakkal Majalla" w:cs="Sakkal Majalla"/>
          <w:color w:val="000000"/>
          <w:sz w:val="32"/>
          <w:szCs w:val="32"/>
          <w:rtl/>
        </w:rPr>
        <w:t>ان</w:t>
      </w:r>
      <w:r>
        <w:rPr>
          <w:rFonts w:ascii="Sakkal Majalla" w:hAnsi="Sakkal Majalla" w:cs="Sakkal Majalla"/>
          <w:color w:val="000000"/>
          <w:sz w:val="32"/>
          <w:szCs w:val="32"/>
          <w:rtl/>
          <w:lang w:bidi="ar-DZ"/>
        </w:rPr>
        <w:t>سلك الفكر الغربي لمعاينة فكرتين ظل متشبع</w:t>
      </w:r>
      <w:r>
        <w:rPr>
          <w:rFonts w:ascii="Sakkal Majalla" w:hAnsi="Sakkal Majalla" w:cs="Sakkal Majalla"/>
          <w:color w:val="000000"/>
          <w:sz w:val="32"/>
          <w:szCs w:val="32"/>
          <w:rtl/>
          <w:lang w:bidi="ar-EG"/>
        </w:rPr>
        <w:t>ً</w:t>
      </w:r>
      <w:r>
        <w:rPr>
          <w:rFonts w:ascii="Sakkal Majalla" w:hAnsi="Sakkal Majalla" w:cs="Sakkal Majalla"/>
          <w:color w:val="000000"/>
          <w:sz w:val="32"/>
          <w:szCs w:val="32"/>
          <w:rtl/>
          <w:lang w:bidi="ar-DZ"/>
        </w:rPr>
        <w:t>ا بهما هما: التمركز حول العقل، وميتافيزيقا الحضور.</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 xml:space="preserve">لا يمكننا البتة أن نكشف عن هذا الحضور إلا بواسطة المعنى حيث بثت المنظومة الأفلاطونية نظامًا معرفيًا، هذا النظام الذي ثبت موقعًا وعالمًا، موقع للمثل وآخر انعكاس له يدعوه عالم المادة. </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رغم أن عالم المادة يحجب موقع المثل، إلا أن المنظومة الأفلاطونية ذهبت إلى أنه يمكننا التوصل إلى معرفة إنسانية من خلال الحواس والعقل، ويمكننا توصيلها من خلال العبارة ولكن كل ما يمكن أن نصل إليه من معنى هو من خلال هذا العالم الكلي الثابت، المتجاوز، ويطلق عليه أنصار ما بعد الحداثة الحضور أو المدلول المتجاوز</w:t>
      </w:r>
      <w:r>
        <w:rPr>
          <w:rStyle w:val="Appelnotedebasdep"/>
          <w:rFonts w:ascii="Sakkal Majalla" w:hAnsi="Sakkal Majalla" w:cs="Sakkal Majalla"/>
          <w:color w:val="000000"/>
          <w:sz w:val="32"/>
          <w:szCs w:val="32"/>
          <w:rtl/>
          <w:lang w:bidi="ar-DZ"/>
        </w:rPr>
        <w:footnoteReference w:id="12"/>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وهنا وجب التنبيه إلى أن التفكيكية ليست منهجا بل استراتيجية ذلك لأن دريدا: ((يقترح استراتيجية في القراءة تقوم على التفكيك </w:t>
      </w:r>
      <w:r>
        <w:rPr>
          <w:rFonts w:ascii="Sakkal Majalla" w:hAnsi="Sakkal Majalla" w:cs="Sakkal Majalla"/>
          <w:color w:val="000000"/>
          <w:sz w:val="32"/>
          <w:szCs w:val="32"/>
          <w:lang w:bidi="ar-DZ"/>
        </w:rPr>
        <w:t>Déconstruction</w:t>
      </w:r>
      <w:r>
        <w:rPr>
          <w:rStyle w:val="Appelnotedebasdep"/>
          <w:rFonts w:ascii="Sakkal Majalla" w:hAnsi="Sakkal Majalla" w:cs="Sakkal Majalla"/>
          <w:color w:val="000000"/>
          <w:sz w:val="32"/>
          <w:szCs w:val="32"/>
          <w:lang w:bidi="ar-DZ"/>
        </w:rPr>
        <w:footnoteReference w:id="13"/>
      </w:r>
      <w:r>
        <w:rPr>
          <w:rFonts w:ascii="Sakkal Majalla" w:hAnsi="Sakkal Majalla" w:cs="Sakkal Majalla"/>
          <w:color w:val="000000"/>
          <w:sz w:val="32"/>
          <w:szCs w:val="32"/>
          <w:rtl/>
          <w:lang w:bidi="ar-DZ"/>
        </w:rPr>
        <w:t>)) والتفكيك كإجراء يقوم على تقويض الدلالات الرمزية التي تخفيها العلامات، لأن اللغة هي بيت الكينونة أو الوجود هي الدزاين –بلغة هيدغر- إن اللغة تحمل في النهاية امحاءها وتلاشيها.</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lang w:bidi="ar-DZ"/>
        </w:rPr>
        <w:t xml:space="preserve">ويستقيم المشروع التفكيكي على جملة من التعقيدات النظرية والمصطلحات النقدية التي نحتها التصور الدريدي، ولعل أهمها على الإطلاق مصطلح الاختلاف </w:t>
      </w:r>
      <w:r>
        <w:rPr>
          <w:rFonts w:ascii="Sakkal Majalla" w:hAnsi="Sakkal Majalla" w:cs="Sakkal Majalla"/>
          <w:color w:val="000000"/>
          <w:sz w:val="32"/>
          <w:szCs w:val="32"/>
          <w:lang w:bidi="ar-DZ"/>
        </w:rPr>
        <w:t>différance</w:t>
      </w:r>
      <w:r>
        <w:rPr>
          <w:rFonts w:ascii="Sakkal Majalla" w:hAnsi="Sakkal Majalla" w:cs="Sakkal Majalla"/>
          <w:color w:val="000000"/>
          <w:sz w:val="32"/>
          <w:szCs w:val="32"/>
          <w:rtl/>
          <w:lang w:bidi="ar-DZ"/>
        </w:rPr>
        <w:t>، التشتت</w:t>
      </w:r>
      <w:r>
        <w:rPr>
          <w:rFonts w:ascii="Sakkal Majalla" w:hAnsi="Sakkal Majalla" w:cs="Sakkal Majalla"/>
          <w:color w:val="000000"/>
          <w:sz w:val="32"/>
          <w:szCs w:val="32"/>
          <w:lang w:bidi="ar-DZ"/>
        </w:rPr>
        <w:t>Dissémination</w:t>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إذن أسست التفكيكية قلبًا في عدة النظر الفلسفي، لذا نجد دريدا قد بنى مشروعه في طريق صاعد من تهيئة البنية </w:t>
      </w:r>
      <w:r>
        <w:rPr>
          <w:rFonts w:ascii="Sakkal Majalla" w:hAnsi="Sakkal Majalla" w:cs="Sakkal Majalla"/>
          <w:color w:val="000000"/>
          <w:sz w:val="32"/>
          <w:szCs w:val="32"/>
          <w:rtl/>
        </w:rPr>
        <w:t>التحتية</w:t>
      </w:r>
      <w:r>
        <w:rPr>
          <w:rFonts w:ascii="Sakkal Majalla" w:hAnsi="Sakkal Majalla" w:cs="Sakkal Majalla"/>
          <w:color w:val="000000"/>
          <w:sz w:val="32"/>
          <w:szCs w:val="32"/>
          <w:rtl/>
          <w:lang w:bidi="ar-DZ"/>
        </w:rPr>
        <w:t xml:space="preserve"> وإغنائها بالإبداع المفاهيمي الذي أحكمه بجملة من المسائل النظرية أو ما يصطلح عليه بالتنظير النقدي.</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وكانت هذه الأفكار إيذانًا بمرحلة ما بعد الحداثة لتستعيض عن المشروع التنويري الحداثي وذلك محاولة لتجاوز التساؤل الغربي المؤرق، ما هي الحقيقة؟ وهنا فقط عرض نموذجين لما بعد الحداثة.</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نموذج يبحث ويحفر في قلب اللغة.</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ونموذج آخر ينفعل في هذه المقولة من خلال القوة.</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وفيه يقول عبد الوهاب المسيري: ((فما بعد الحداثة النصوصية أو اللغوية ترى أن اللغة ليست أداة لمعرفة الحقيقة، وإنما هي أداة لإنتاجها فثمة أسبقية للغة على الواقع. ولذا فإن النموذج المهيمن هنا هو النموذج اللغوي.</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وترى ما بعد الحداثة النصية أن اللغة مكونة من استعارات لا تكشف الواقع وإنما تحجبه فهي تشبه الزجاج المعشق الذي تحاول أن ترى ما وراءه فتشتغل بألوانه الدوال وتنسى المدلول))</w:t>
      </w:r>
      <w:r>
        <w:rPr>
          <w:rStyle w:val="Appelnotedebasdep"/>
          <w:rFonts w:ascii="Sakkal Majalla" w:hAnsi="Sakkal Majalla" w:cs="Sakkal Majalla"/>
          <w:color w:val="000000"/>
          <w:sz w:val="32"/>
          <w:szCs w:val="32"/>
          <w:rtl/>
          <w:lang w:bidi="ar-DZ"/>
        </w:rPr>
        <w:footnoteReference w:id="14"/>
      </w:r>
      <w:r>
        <w:rPr>
          <w:rFonts w:ascii="Sakkal Majalla" w:hAnsi="Sakkal Majalla" w:cs="Sakkal Majalla"/>
          <w:color w:val="000000"/>
          <w:sz w:val="32"/>
          <w:szCs w:val="32"/>
          <w:rtl/>
          <w:lang w:bidi="ar-DZ"/>
        </w:rPr>
        <w:t>، فلعب تلك الدوال تترك المجال واسعًا أمام الإزاحات والاحتمالات، هذه النصوص هي في الحقيقة ((نصوص بلاغية مجازية مكتفية بذاتها ولا تشير إلى أي شيء خارجها فلا يوجد شيء خارج النص))</w:t>
      </w:r>
      <w:r>
        <w:rPr>
          <w:rStyle w:val="Appelnotedebasdep"/>
          <w:rFonts w:ascii="Sakkal Majalla" w:hAnsi="Sakkal Majalla" w:cs="Sakkal Majalla"/>
          <w:color w:val="000000"/>
          <w:sz w:val="32"/>
          <w:szCs w:val="32"/>
          <w:rtl/>
          <w:lang w:bidi="ar-DZ"/>
        </w:rPr>
        <w:footnoteReference w:id="15"/>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أما النموذج ما بعد الحداثي الآخر فهو ليس اللغة، وإنما القوة وهنا تنوب القوة عن اللغة لتعديل الحقائق الموجدة، لا تكون اللغة أداة القمع، بل هي القمع ذاته</w:t>
      </w:r>
      <w:r>
        <w:rPr>
          <w:rStyle w:val="Appelnotedebasdep"/>
          <w:rFonts w:ascii="Sakkal Majalla" w:hAnsi="Sakkal Majalla" w:cs="Sakkal Majalla"/>
          <w:color w:val="000000"/>
          <w:sz w:val="32"/>
          <w:szCs w:val="32"/>
          <w:rtl/>
          <w:lang w:bidi="ar-DZ"/>
        </w:rPr>
        <w:footnoteReference w:id="16"/>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لقد استغرق جهد دريدا عملًا مزدوجًا؛ حيث بحث في الحقول المعرفية التي رتبت أوضاعها في ضوء سلطة التمركز، وجعله موضوعات للبحث، وفي الوقت الذي كشف فيه عن بؤر التمركز في تلك الحقول. </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عمل على نقد مظاهر التمركز فيها، وهذا ما اقتضى مزيدا من الحفر في البنيات الداخلية لتلك الحقول من أجل حصر مظاهر التمركز، أي العمل على خلخلة بؤر التمركز ثانيا وأهم هذه النقاط هي:</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1- الأولية الابستمولوجية: حيث اعتبرت الحس والعقل مركزًا للحضور.</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2- الأولية التاريخية: حيث سيطر التمركز حول الصوت من حيث ثلاث حالات هي: التمركز الذي أشاعته الميتافيزيقا على اعتبار أن الروح ذات بعد مثالي، وأن تجسداتها تتم من خلال زمنية الجسد وليس من بعدها المجرد، وأن الأشكال المتعالية التي تقررها الظواهر ثابتة وأبدية.</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3- الأولية الجنسية: وهي ترسيخ لمركزية الذكر </w:t>
      </w:r>
      <w:r>
        <w:rPr>
          <w:rFonts w:ascii="Sakkal Majalla" w:hAnsi="Sakkal Majalla" w:cs="Sakkal Majalla"/>
          <w:color w:val="000000"/>
          <w:sz w:val="32"/>
          <w:szCs w:val="32"/>
          <w:lang w:val="en-US" w:bidi="ar-DZ"/>
        </w:rPr>
        <w:t xml:space="preserve"> </w:t>
      </w:r>
      <w:proofErr w:type="spellStart"/>
      <w:r>
        <w:rPr>
          <w:rFonts w:ascii="Sakkal Majalla" w:hAnsi="Sakkal Majalla" w:cs="Sakkal Majalla"/>
          <w:color w:val="000000"/>
          <w:sz w:val="32"/>
          <w:szCs w:val="32"/>
          <w:lang w:bidi="ar-DZ"/>
        </w:rPr>
        <w:t>Phallogocentric</w:t>
      </w:r>
      <w:proofErr w:type="spellEnd"/>
      <w:r>
        <w:rPr>
          <w:rFonts w:ascii="Sakkal Majalla" w:hAnsi="Sakkal Majalla" w:cs="Sakkal Majalla"/>
          <w:color w:val="000000"/>
          <w:sz w:val="32"/>
          <w:szCs w:val="32"/>
          <w:rtl/>
          <w:lang w:bidi="ar-DZ"/>
        </w:rPr>
        <w:t>وإقصا</w:t>
      </w:r>
      <w:r>
        <w:rPr>
          <w:rFonts w:ascii="Sakkal Majalla" w:hAnsi="Sakkal Majalla" w:cs="Sakkal Majalla"/>
          <w:color w:val="000000"/>
          <w:sz w:val="32"/>
          <w:szCs w:val="32"/>
          <w:rtl/>
        </w:rPr>
        <w:t>ء</w:t>
      </w:r>
      <w:r>
        <w:rPr>
          <w:rFonts w:ascii="Sakkal Majalla" w:hAnsi="Sakkal Majalla" w:cs="Sakkal Majalla"/>
          <w:color w:val="000000"/>
          <w:sz w:val="32"/>
          <w:szCs w:val="32"/>
          <w:rtl/>
          <w:lang w:bidi="ar-DZ"/>
        </w:rPr>
        <w:t xml:space="preserve"> للأنثى.</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 xml:space="preserve">4- الأولية الوجودية: حيث ربطت الميتافيزيقا الفردية بين الحضور والوجود: ((الوجود ينطوي على إمكانية حضور متحققة في كل الظواهر والأشياء وعليه فإن الميتافيزيقا الدينية عززت مركز العقل في الحضارة الفرنسية أي أعطت العقل بعده الإلهي فدمجت فكرة اللوغوس والله)) </w:t>
      </w:r>
      <w:r>
        <w:rPr>
          <w:rStyle w:val="Appelnotedebasdep"/>
          <w:rFonts w:ascii="Sakkal Majalla" w:hAnsi="Sakkal Majalla" w:cs="Sakkal Majalla"/>
          <w:color w:val="000000"/>
          <w:sz w:val="32"/>
          <w:szCs w:val="32"/>
          <w:rtl/>
          <w:lang w:bidi="ar-DZ"/>
        </w:rPr>
        <w:footnoteReference w:id="17"/>
      </w:r>
      <w:r>
        <w:rPr>
          <w:rFonts w:ascii="Sakkal Majalla" w:hAnsi="Sakkal Majalla" w:cs="Sakkal Majalla"/>
          <w:color w:val="000000"/>
          <w:sz w:val="32"/>
          <w:szCs w:val="32"/>
          <w:rtl/>
          <w:lang w:bidi="ar-DZ"/>
        </w:rPr>
        <w:t>.</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lastRenderedPageBreak/>
        <w:t>ليتدافع الحراك الذي لم يهدأ فهو طبقات بعضها يموج فوق بعض، فكلما تشكل منعطف انعطف عليه آخر باتجاه آخر ليصبح النقد كائنًا مفهوميًا فحلًا، فأصبح يحيلنا على الحفر، التأويل، التفكيك، التواصل. إنه منظومة متفاعلة لا تهدأ تشتغل، تتوالد، تتناسل، تتناسخ نظريًا ووجوديًا وتأويليًا لتحقق الفعل التواصلي.</w:t>
      </w:r>
    </w:p>
    <w:p w:rsidR="005C5309" w:rsidRDefault="005C5309" w:rsidP="005C5309">
      <w:pPr>
        <w:bidi/>
        <w:ind w:firstLine="397"/>
        <w:jc w:val="both"/>
        <w:rPr>
          <w:rFonts w:ascii="Sakkal Majalla" w:hAnsi="Sakkal Majalla" w:cs="Sakkal Majalla"/>
          <w:color w:val="000000"/>
          <w:sz w:val="32"/>
          <w:szCs w:val="32"/>
          <w:rtl/>
          <w:lang w:bidi="ar-DZ"/>
        </w:rPr>
      </w:pPr>
      <w:r>
        <w:rPr>
          <w:rFonts w:ascii="Sakkal Majalla" w:hAnsi="Sakkal Majalla" w:cs="Sakkal Majalla"/>
          <w:color w:val="000000"/>
          <w:sz w:val="32"/>
          <w:szCs w:val="32"/>
          <w:rtl/>
          <w:lang w:bidi="ar-DZ"/>
        </w:rPr>
        <w:t>إنه انتقال إلى المعرفة الجديدة التي عرفت مع ثورة أجهزة التواصل المشفرة وغير المشفرة التي وضعت الإنسان أمام رهان جديد، رهان تفاعلي، افتراضي، أثيري، نقلت النقد من طور النقد الورقي إلى النقد الرقمي، السبرنطيقي.</w:t>
      </w:r>
    </w:p>
    <w:p w:rsidR="005C5309" w:rsidRDefault="005C5309" w:rsidP="005C5309">
      <w:pPr>
        <w:bidi/>
        <w:ind w:firstLine="397"/>
        <w:jc w:val="both"/>
        <w:rPr>
          <w:rFonts w:ascii="Sakkal Majalla" w:hAnsi="Sakkal Majalla" w:cs="Sakkal Majalla"/>
          <w:b/>
          <w:bCs/>
          <w:color w:val="000000"/>
          <w:sz w:val="32"/>
          <w:szCs w:val="32"/>
          <w:rtl/>
        </w:rPr>
      </w:pPr>
      <w:r>
        <w:rPr>
          <w:rFonts w:ascii="Sakkal Majalla" w:hAnsi="Sakkal Majalla" w:cs="Sakkal Majalla"/>
          <w:b/>
          <w:bCs/>
          <w:color w:val="000000"/>
          <w:sz w:val="32"/>
          <w:szCs w:val="32"/>
          <w:rtl/>
        </w:rPr>
        <w:t>- النقد، النص، الواقع:</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إن تقصي دلالة القراءة في المنظور الغربي من خلال مفاهيمها ومصطلحاتها، ذلك أن المصطلحات مداخل العلوم والمعارف، فالقراءة في أبسط مفاهيمها تعني المعالجة، معالجة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كانت تعتمد عند القدماء على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حركة في مدار العقل والحس الذين يفرزان مناخًا جماليًا واضحًا، يعين القارئ على الفهم والتذوق مباشرة))</w:t>
      </w:r>
      <w:r>
        <w:rPr>
          <w:rStyle w:val="Appelnotedebasdep"/>
          <w:rFonts w:ascii="Sakkal Majalla" w:hAnsi="Sakkal Majalla" w:cs="Sakkal Majalla"/>
          <w:color w:val="000000"/>
          <w:sz w:val="32"/>
          <w:szCs w:val="32"/>
          <w:rtl/>
        </w:rPr>
        <w:footnoteReference w:id="18"/>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فـ</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يحمل دلالات مختلفة، إما ترجع إلى مدلول داخلي في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وإما إلى دلالة خارج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وبهذا فهم البنيويون أن نصية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لا تتحقق إلا في اللحظة التي يصبح فيها هذا الأخير منفصلًا عن صاحبه بالقراءة، من خلال الطبع أو النشر الذي يمنح العمل الأدبي صفة الامتلاك للقارئ، ولهذا انتقلنا من سلطة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إلى سلطة القراءة بتعبير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فاضل ثامر)).</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وعمل القارئ لا يقتصر فقط على تنشيط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وإنما بإعادة استحضار موروثه الثقافي الذي يشكل المرجع، من كون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هنا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رسالة)) تشكلها أطراف مختلفة: (وهنا يكون دور القارئ والقراءة متمثلًا في عمليه استحضار أو استدعاء هذا المتصور الذهني الغائب(...) ومن هنا تبرز فاعلية دور القارئ في استحضار الغائب واستكمال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w:t>
      </w:r>
      <w:r>
        <w:rPr>
          <w:rStyle w:val="Appelnotedebasdep"/>
          <w:rFonts w:ascii="Sakkal Majalla" w:hAnsi="Sakkal Majalla" w:cs="Sakkal Majalla"/>
          <w:color w:val="000000"/>
          <w:sz w:val="32"/>
          <w:szCs w:val="32"/>
          <w:rtl/>
        </w:rPr>
        <w:footnoteReference w:id="19"/>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ولقد عرفت القراءة انتقالات معرفية هائلة، إذ أصبح مدلولها المعاصر يدل على اقتحام عوامل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بمعنى مساءلته، وذلك ليس بالوقوف على عتبات المعجمي بل تتعدد مستويات استنطاق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فهي تتميز بالديالكتيك الحاصل بين المبدع، القارئ وكذلك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القارئ))، وعليه فالقراءة كما يقول تودوروف: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تجمع المتباعد وتفصل المتلاحم))</w:t>
      </w:r>
      <w:r>
        <w:rPr>
          <w:rStyle w:val="Appelnotedebasdep"/>
          <w:rFonts w:ascii="Sakkal Majalla" w:hAnsi="Sakkal Majalla" w:cs="Sakkal Majalla"/>
          <w:color w:val="000000"/>
          <w:sz w:val="32"/>
          <w:szCs w:val="32"/>
          <w:rtl/>
        </w:rPr>
        <w:footnoteReference w:id="20"/>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وبناءً على هذا شكلت المناهج النقدية الجديدة من بنيوية، وتشريحية، وتفكيكية ونظريات الاستقبال والتأويل فتوحات جديدة لنظرية القراءة.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لا مندوحة إذًا، أن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القراءة)) استراتيجية يحتاج فيها القارئ إلى ترسانة من الأدوات المنهجية المحكمة ليوجهها نحو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والقراء إزاء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يختلفون من قارئ عادي إلى آخر نموذجي على اعتبار أن القارئ العادي يقف أمام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موقف المسلِّم الذي يشكل انطباعًا ذوقيًا دون إعمال العقل فهو قارئ بلا تحليل أما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القارئ)) النموذجي فهو الذي يمزق حجب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ويكشف طبقاته المتتالية.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وهنا يميز تزفيتان تودوروف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بين ثلاثة أنواع من الفعاليات إزاء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هي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الفعالية الإسقاطية)) و</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الفعالية التعليقية، أو فعالية الشرح))، و</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الفعالية الشعرية)) ونراه ينحاز إلى الضرب الثالث الذي ينسجم ومنهجه في البنيوية الشعرية))</w:t>
      </w:r>
      <w:r>
        <w:rPr>
          <w:rStyle w:val="Appelnotedebasdep"/>
          <w:rFonts w:ascii="Sakkal Majalla" w:hAnsi="Sakkal Majalla" w:cs="Sakkal Majalla"/>
          <w:color w:val="000000"/>
          <w:sz w:val="32"/>
          <w:szCs w:val="32"/>
          <w:rtl/>
        </w:rPr>
        <w:footnoteReference w:id="21"/>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أما الفعالية الإسقاطية فـ: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تنطلق من مفهوم يرى أن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الأدبي هو عملية نقل أو ترجمة تبدأ من شيء أصلي آخر، ولذا فإن مهمة الناقد تتمثل في توجيهنا نحو الطريق المعكوس لاستكمال الدورة والعودة إلى الأصل))</w:t>
      </w:r>
      <w:r>
        <w:rPr>
          <w:rStyle w:val="Appelnotedebasdep"/>
          <w:rFonts w:ascii="Sakkal Majalla" w:hAnsi="Sakkal Majalla" w:cs="Sakkal Majalla"/>
          <w:color w:val="000000"/>
          <w:sz w:val="32"/>
          <w:szCs w:val="32"/>
          <w:rtl/>
        </w:rPr>
        <w:footnoteReference w:id="22"/>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وتوضح أن القراءة الإسقاطية تنطلق من خارج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حيث يترصد لدى القارئ جملة من المرجعيات أو المعطيات الخارجية التي يسقطها على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مباشرة.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أما وجهة النظر التعليقية فإنها تنطلق من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الصعوبات التي يثيرها الفهم مباشرة لنصوص معينة، ويمكن تعريفها بكونها جزءا داخليا من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موضوع المناقشة))</w:t>
      </w:r>
      <w:r>
        <w:rPr>
          <w:rStyle w:val="Appelnotedebasdep"/>
          <w:rFonts w:ascii="Sakkal Majalla" w:hAnsi="Sakkal Majalla" w:cs="Sakkal Majalla"/>
          <w:color w:val="000000"/>
          <w:sz w:val="32"/>
          <w:szCs w:val="32"/>
          <w:rtl/>
        </w:rPr>
        <w:footnoteReference w:id="23"/>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أما المستوى الثالث من القراءة فهي القراءة الشعرية، حيث يعتقد الناقد أن هذا القرن شهد نهضة هائلة في الدراسات الشعرية وتلخصت هذه الثورة في جملة من المدارس النقدية، كالشكلانية الروسية والبنيوية...الخ</w:t>
      </w:r>
      <w:r>
        <w:rPr>
          <w:rStyle w:val="Appelnotedebasdep"/>
          <w:rFonts w:ascii="Sakkal Majalla" w:hAnsi="Sakkal Majalla" w:cs="Sakkal Majalla"/>
          <w:color w:val="000000"/>
          <w:sz w:val="32"/>
          <w:szCs w:val="32"/>
          <w:rtl/>
        </w:rPr>
        <w:footnoteReference w:id="24"/>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أما تودوروف فقد حدثنا عن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القراءة السيمائية)) التي لا تكتفي برد الحالة المرجعية إلى الأشياء التي يشخصها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w:t>
      </w:r>
      <w:r>
        <w:rPr>
          <w:rStyle w:val="Appelnotedebasdep"/>
          <w:rFonts w:ascii="Sakkal Majalla" w:hAnsi="Sakkal Majalla" w:cs="Sakkal Majalla"/>
          <w:color w:val="000000"/>
          <w:sz w:val="32"/>
          <w:szCs w:val="32"/>
          <w:rtl/>
        </w:rPr>
        <w:footnoteReference w:id="25"/>
      </w:r>
      <w:r>
        <w:rPr>
          <w:rFonts w:ascii="Sakkal Majalla" w:hAnsi="Sakkal Majalla" w:cs="Sakkal Majalla"/>
          <w:color w:val="000000"/>
          <w:sz w:val="32"/>
          <w:szCs w:val="32"/>
          <w:rtl/>
        </w:rPr>
        <w:t>، بل إلى تأويل العلامة ثقافيًا.</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أما ياوس فقد اعتبر أن من شروط القارئ، المعرفة التاريخية حيث لا يستقيم أفق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عند القارئ إلا بإعادة بناء الموضوع الجمالي، وبهذا الشكل تكون القراءة إستراتيجية شاملة يستند إليها القارئ في مؤانسته للنص.</w:t>
      </w:r>
    </w:p>
    <w:p w:rsidR="005C5309" w:rsidRDefault="005C5309" w:rsidP="005C5309">
      <w:pPr>
        <w:bidi/>
        <w:ind w:firstLine="397"/>
        <w:jc w:val="both"/>
        <w:rPr>
          <w:rFonts w:ascii="Sakkal Majalla" w:hAnsi="Sakkal Majalla" w:cs="Sakkal Majalla"/>
          <w:color w:val="000000"/>
          <w:sz w:val="32"/>
          <w:szCs w:val="32"/>
        </w:rPr>
      </w:pPr>
      <w:r>
        <w:rPr>
          <w:rFonts w:ascii="Sakkal Majalla" w:hAnsi="Sakkal Majalla" w:cs="Sakkal Majalla"/>
          <w:color w:val="000000"/>
          <w:sz w:val="32"/>
          <w:szCs w:val="32"/>
          <w:rtl/>
        </w:rPr>
        <w:t>لا عجب إن قلنا أن ميلاد النظريات النصية هو استمرار للنقاش النقدي الذي يدعو إلى ضرورة استقلال السياسة العامة عن الدين، والذي أدى في مجال الدرس النقدي إلى نوع من العلمانية التي تدعو إلى استقلال النص، عن كل تأويل ميتافيزيقي يرتبط بالمؤلف.</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أي تخليص النص من أي تبعية شرطية قبلية أو مصادرة، ولعل هذا ما أبحر فيه فوكو عندما بحث إشكالية منهجية عن من يتكلم داخل النسق؟</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يقول: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من يتكلم داخل النسق؟ لسنا ندري وعلى أي حال فليس المتكلم هو الإله الذي نعرف، إن فوكو يتبنى حكم نيتشه نفسه عليه، وليس هو الإنسان.. لأن الإنسان مجرد وهم وأسطورة حديثة العهد.. من يتكلم إذن؟ إنها اللغة، إن النسق يدرك نفسه بنفسه من خلال وبواسطة اللغة.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هذا النسق الذي يسبق كل نسق والذي تنطق اللغة المجهولة الهوية من خلاله، يكون هو الأساس الذي تومض الذات الواعية على سطحه للحظة عابرة، ولا نستغرب إذا اكتشفنا بدورنا أن اكتشاف فوكو للنسق لن يؤديَ به إلى إلغاء مفهوم الإنسان كموضوع للعلوم الإنسانية.ولكنه سيجعله يعلن </w:t>
      </w:r>
      <w:r>
        <w:rPr>
          <w:rFonts w:ascii="Sakkal Majalla" w:hAnsi="Sakkal Majalla" w:cs="Sakkal Majalla"/>
          <w:color w:val="000000"/>
          <w:sz w:val="32"/>
          <w:szCs w:val="32"/>
          <w:rtl/>
        </w:rPr>
        <w:lastRenderedPageBreak/>
        <w:t>موت فكرة الإنسان ذاتها وما يرتبط بها من خلال دلالات النزعة الإنسانية))</w:t>
      </w:r>
      <w:r>
        <w:rPr>
          <w:rStyle w:val="Appelnotedebasdep"/>
          <w:rFonts w:ascii="Sakkal Majalla" w:hAnsi="Sakkal Majalla" w:cs="Sakkal Majalla"/>
          <w:color w:val="000000"/>
          <w:sz w:val="32"/>
          <w:szCs w:val="32"/>
          <w:rtl/>
        </w:rPr>
        <w:footnoteReference w:id="26"/>
      </w:r>
      <w:r>
        <w:rPr>
          <w:rFonts w:ascii="Sakkal Majalla" w:hAnsi="Sakkal Majalla" w:cs="Sakkal Majalla"/>
          <w:color w:val="000000"/>
          <w:sz w:val="32"/>
          <w:szCs w:val="32"/>
          <w:rtl/>
        </w:rPr>
        <w:t>، ولعل هذا التدقيق الآنف هو الذي أفضى على النص الطابع العلمي.</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استطاعت نظرية القراءة أن تتجاوز الرؤية البنيوية التي جعلت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صنمًا، حيث أغلقته على بنيته النحوية الدلالية لتصادر القراءة السياقية، التي اعتمدت إحالة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الأدبي على العناصر الخارجية فالبنيوية كانت بمثابة مراجعة أساسية للقراءة المتاخمة لحدود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لتدشن منظومتها المعرفية بمسمى جديد اصطُلح عليه بالنسق أو القراءة النسقية حيث كان رولان بارت واحدًا من منظريها الأساسيين، والذي أعلن موت المؤلف</w:t>
      </w:r>
      <w:r>
        <w:rPr>
          <w:rStyle w:val="Appelnotedebasdep"/>
          <w:rFonts w:ascii="Sakkal Majalla" w:hAnsi="Sakkal Majalla" w:cs="Sakkal Majalla"/>
          <w:color w:val="000000"/>
          <w:sz w:val="32"/>
          <w:szCs w:val="32"/>
        </w:rPr>
        <w:footnoteReference w:customMarkFollows="1" w:id="27"/>
        <w:sym w:font="Symbol" w:char="F0B7"/>
      </w:r>
      <w:r>
        <w:rPr>
          <w:rFonts w:ascii="Sakkal Majalla" w:hAnsi="Sakkal Majalla" w:cs="Sakkal Majalla"/>
          <w:color w:val="000000"/>
          <w:sz w:val="32"/>
          <w:szCs w:val="32"/>
          <w:rtl/>
        </w:rPr>
        <w:t xml:space="preserve"> ليدرس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لذاته ومن أجل ذاته. </w:t>
      </w:r>
    </w:p>
    <w:p w:rsidR="005C5309" w:rsidRDefault="005C5309" w:rsidP="005C5309">
      <w:pPr>
        <w:bidi/>
        <w:ind w:firstLine="397"/>
        <w:jc w:val="both"/>
        <w:rPr>
          <w:rFonts w:ascii="Sakkal Majalla" w:hAnsi="Sakkal Majalla" w:cs="Sakkal Majalla"/>
          <w:color w:val="000000"/>
          <w:sz w:val="32"/>
          <w:szCs w:val="32"/>
        </w:rPr>
      </w:pPr>
      <w:r>
        <w:rPr>
          <w:rFonts w:ascii="Sakkal Majalla" w:hAnsi="Sakkal Majalla" w:cs="Sakkal Majalla"/>
          <w:color w:val="000000"/>
          <w:sz w:val="32"/>
          <w:szCs w:val="32"/>
          <w:rtl/>
        </w:rPr>
        <w:t xml:space="preserve">ولقد قام الطرح البنيوي أساسًا على قطع الصلة مع المؤثرات الخارجية، هذا الطرح الذي استمد تفاصيله من النظرية اللسانية عند دوسوسير. يأتي هذا المحور في الواجهة الأولية للطروحات التي يقدمها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فولف غانغ آيزر)) ضمن نقطة مركزية أطلق عليها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السجل النصي</w:t>
      </w:r>
      <w:r>
        <w:rPr>
          <w:rFonts w:ascii="Sakkal Majalla" w:hAnsi="Sakkal Majalla" w:cs="Sakkal Majalla"/>
          <w:color w:val="000000"/>
          <w:sz w:val="32"/>
          <w:szCs w:val="32"/>
        </w:rPr>
        <w:t xml:space="preserve">Le Répertoire Du Texte </w:t>
      </w:r>
      <w:r>
        <w:rPr>
          <w:rFonts w:ascii="Sakkal Majalla" w:hAnsi="Sakkal Majalla" w:cs="Sakkal Majalla"/>
          <w:color w:val="000000"/>
          <w:sz w:val="32"/>
          <w:szCs w:val="32"/>
          <w:rtl/>
        </w:rPr>
        <w:t>))</w:t>
      </w:r>
      <w:r>
        <w:rPr>
          <w:rStyle w:val="Appelnotedebasdep"/>
          <w:rFonts w:ascii="Sakkal Majalla" w:hAnsi="Sakkal Majalla" w:cs="Sakkal Majalla"/>
          <w:color w:val="000000"/>
          <w:sz w:val="32"/>
          <w:szCs w:val="32"/>
          <w:rtl/>
        </w:rPr>
        <w:footnoteReference w:id="28"/>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حيث يتشكل السجل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النصي)) من خلال الوظيفة التاريخية للنصوص الأدبية من مبدأ التواصل، والسجل النصي هو</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المنطقة المألوفة التي يلتقي فيها النص والقارئ من أجل الشروع في التواصل))</w:t>
      </w:r>
      <w:r>
        <w:rPr>
          <w:rStyle w:val="Appelnotedebasdep"/>
          <w:rFonts w:ascii="Sakkal Majalla" w:hAnsi="Sakkal Majalla" w:cs="Sakkal Majalla"/>
          <w:color w:val="000000"/>
          <w:sz w:val="32"/>
          <w:szCs w:val="32"/>
          <w:rtl/>
        </w:rPr>
        <w:footnoteReference w:id="29"/>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هذا السجل هو الذي يجعل: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يتموقع بالنسبة للأنساق الدلالية السائدة في عصره باعتبارها نماذج فكرية لفهم وتأويل هذا الواقع</w:t>
      </w:r>
      <w:r>
        <w:rPr>
          <w:rStyle w:val="Appelnotedebasdep"/>
          <w:rFonts w:ascii="Sakkal Majalla" w:hAnsi="Sakkal Majalla" w:cs="Sakkal Majalla"/>
          <w:color w:val="000000"/>
          <w:sz w:val="32"/>
          <w:szCs w:val="32"/>
          <w:rtl/>
        </w:rPr>
        <w:footnoteReference w:id="30"/>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ولقد ترجمه عبد الوهاب علوب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بالرصيد)) من حيث إن القيمة الأدبية الموجودة في القصص لا تتشكل إلا من الواجهة الخلفية التي يرصدها الواقع، فهو الذي يدفع العملية الإبداعية إلى الأمام لتمارس مخياليتها التي تتمظهر فيها الأبعاد اللغوية من الواقعية المحضة، وهي الجانب التثقيفي الذي يضخ ((النص)). </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وهنا يقول عبد الوهاب علوب: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وإذا كان للقصص والواقع أن تربط بينهما صلة فلا بد ألا تكون من زاوية التعارض بل من زاوية التواصل، فليس أحدهما مجرد نقيض للآخر فالقصص وسيلة لإبلاغ شيء عن الواقع، فلم تعد في حاجة للبحث عن إطار مرجعي يضم طرفي نطاق الواقع))</w:t>
      </w:r>
      <w:r>
        <w:rPr>
          <w:rStyle w:val="Appelnotedebasdep"/>
          <w:rFonts w:ascii="Sakkal Majalla" w:hAnsi="Sakkal Majalla" w:cs="Sakkal Majalla"/>
          <w:color w:val="000000"/>
          <w:sz w:val="32"/>
          <w:szCs w:val="32"/>
          <w:rtl/>
        </w:rPr>
        <w:footnoteReference w:id="31"/>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غير أن اهتمام القارئ لا ينحصر هنا في المعنى الذي يؤكده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بل في الواقع أو ما يحدثه من تأثير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وهذه العلاقة التي يقيمها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الأدبي مع الأنساق الدلالية السائدة في عصره سوف تحدد السجل النصي وتكيفه.</w:t>
      </w:r>
    </w:p>
    <w:p w:rsidR="005C5309" w:rsidRDefault="005C5309" w:rsidP="005C5309">
      <w:pPr>
        <w:bidi/>
        <w:ind w:firstLine="397"/>
        <w:jc w:val="both"/>
        <w:rPr>
          <w:rFonts w:ascii="Sakkal Majalla" w:hAnsi="Sakkal Majalla" w:cs="Sakkal Majalla"/>
          <w:color w:val="000000"/>
          <w:sz w:val="32"/>
          <w:szCs w:val="32"/>
          <w:rtl/>
        </w:rPr>
      </w:pP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لأن طبيعة هذه العلاقة هي التي ستجعل المعايير والقيم الخارج نصية المدمجة في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تتلقى تحويلًا معينًا في المصداقية ما دامت القرارات الانتقالية السائدة لدى الأنساق قد أبعدت إلى الواجهة الخلفية (الجهة الخلفية) لكي تسمح للإمكانيات التي أقصاها النسق بالبروز))</w:t>
      </w:r>
      <w:r>
        <w:rPr>
          <w:rStyle w:val="Appelnotedebasdep"/>
          <w:rFonts w:ascii="Sakkal Majalla" w:hAnsi="Sakkal Majalla" w:cs="Sakkal Majalla"/>
          <w:color w:val="000000"/>
          <w:sz w:val="32"/>
          <w:szCs w:val="32"/>
          <w:rtl/>
        </w:rPr>
        <w:footnoteReference w:id="32"/>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وبفضل السجل النصي أو الرصيد يمكن أن يشكل الإطار العام للتواصل الذي يحدث بين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و</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القارئ)) وبه يستطيع القارئ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أن يعيد بناء الوضعية التاريخية التي يحيل إليها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ويرد إليها الفعل))</w:t>
      </w:r>
      <w:r>
        <w:rPr>
          <w:rStyle w:val="Appelnotedebasdep"/>
          <w:rFonts w:ascii="Sakkal Majalla" w:hAnsi="Sakkal Majalla" w:cs="Sakkal Majalla"/>
          <w:color w:val="000000"/>
          <w:sz w:val="32"/>
          <w:szCs w:val="32"/>
          <w:rtl/>
        </w:rPr>
        <w:footnoteReference w:id="33"/>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فالسجل النصي هو المرجعية أو الرصيد الحضاري للقول، حيث ينبثق من نصوص سابقة له ولكنه أيضا المواصفات المتاخمة للنص بل هو الإطار المرجعي للنص.</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ويعمل السجل النصي أو الرصيد على وضع القارئ في سياق أفقي للتواصل مع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من خلال المعطيات التاريخية والاجتماعية التي يفرضها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على القارئ.</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فالسجل هو كذلك الرصيد المعرفي للنص، أي كلما كان استدعاء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لمجال القراءة كلما انجر إلينا هذا الرصيد ليشكل الثقافي الذي يحفظ للنص ديمومته وبقاءه، أي هو الواجهة الخلفية التي تؤطر</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وتعمل على تحريض الواجهة الأمامية.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وينسج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حول واقعه رؤية للعالم</w:t>
      </w:r>
      <w:r>
        <w:rPr>
          <w:rStyle w:val="Appelnotedebasdep"/>
          <w:rFonts w:ascii="Sakkal Majalla" w:hAnsi="Sakkal Majalla" w:cs="Sakkal Majalla"/>
          <w:color w:val="000000"/>
          <w:sz w:val="32"/>
          <w:szCs w:val="32"/>
          <w:rtl/>
        </w:rPr>
        <w:footnoteReference w:id="34"/>
      </w:r>
      <w:r>
        <w:rPr>
          <w:rFonts w:ascii="Sakkal Majalla" w:hAnsi="Sakkal Majalla" w:cs="Sakkal Majalla"/>
          <w:color w:val="000000"/>
          <w:sz w:val="32"/>
          <w:szCs w:val="32"/>
          <w:rtl/>
        </w:rPr>
        <w:t xml:space="preserve">، وهذا ما عمل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جولدمان)) على تحديده.</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حيث يرى أن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جماع العلاقات البنيوية بين ))النص)) الأدبي ورؤية العالم والتاريخ نفسه يظهر الكيفية التي يتحول بها الموقف التاريخي لمجموعة أو طبقة اجتماعية إلى بنية عمل أدبي عن طريق رؤية العالم عند هذه المجموعة أو الطبقة))</w:t>
      </w:r>
      <w:r>
        <w:rPr>
          <w:rStyle w:val="Appelnotedebasdep"/>
          <w:rFonts w:ascii="Sakkal Majalla" w:hAnsi="Sakkal Majalla" w:cs="Sakkal Majalla"/>
          <w:color w:val="000000"/>
          <w:sz w:val="32"/>
          <w:szCs w:val="32"/>
          <w:rtl/>
        </w:rPr>
        <w:footnoteReference w:id="35"/>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ولعل هذا النقاش يسوقنا إلى عرض مسألة دقيقة حول فهم النص في الثقافتين العربية والغربية، وكيفية تحقيق تواصل فعال مع طبيعة المصطلح من كونه مدخل أي ثقافة، ومن جهة أخرى تحقيق فعالية الرصيد الحضاري له.</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هل تراه يرتد إلى الدلالات نفسها؟ أم أن الأمر قائم على الاختزال المعرفي الذي انتشر في مدونة الباحثين العرب، حيث يجمعون ما لا يجتمع معرفيًا، يجمعون أنساقًا ثقافية أنضجتها حضارة النص، على أخرى أنتجتها التجربة البشرية في التاريخ، فيسقطون بنيتين غير متوافقتين ويسهل عليهم قول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هذا عندهم وعندنا)).</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حيث أردت نقاشَ القضايا التي تحكمت في إنتاج المصطلح، تلك الضوابط التي تتيح لنا كيفية التعامل مع المفهوم والكائنات أو الأطياف الغائرة داخله، لأنها علامات تحيلنا إلى سيرة المفهوم وهنا أقف عند الدلالة اللغوية حيث يحيلنا تعدد المعاني اللغوية في مادة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نصص)) فهي تدل على:</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الرفع بنوعيه الحسي والمجرد: النص رفعك الشيء نص الحديث ينصه نصا، رفعه. وكلما  أظهر فقد نُص ومن ذلك المنصة.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أقصى الشيء وغايته... ونص الشيء منتهاه</w:t>
      </w:r>
      <w:r>
        <w:rPr>
          <w:rStyle w:val="Appelnotedebasdep"/>
          <w:rFonts w:ascii="Sakkal Majalla" w:hAnsi="Sakkal Majalla" w:cs="Sakkal Majalla"/>
          <w:color w:val="000000"/>
          <w:sz w:val="32"/>
          <w:szCs w:val="32"/>
          <w:rtl/>
        </w:rPr>
        <w:footnoteReference w:id="36"/>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ولا يقف المعنى عند التحديد الحاف بل يشترك مع الدلالات التي تنقلها لنا اللغات الأعجمية من إحالة على معنى النسيج، كما هو وارد في التخريج العام للمصطلح؛ حيث ينقل حسين خمري عن بارت قوله: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إن الدراسة المعجمية للكلمة تكشف أنها تدل على النسج، ومن هنا يمكن أن نقول أن نسج الكلمات يعني تركيب نص.. إنه نسيج من الكلمات ومجموعة نغمية وجسم لغوي ))</w:t>
      </w:r>
      <w:r>
        <w:rPr>
          <w:rStyle w:val="Appelnotedebasdep"/>
          <w:rFonts w:ascii="Sakkal Majalla" w:hAnsi="Sakkal Majalla" w:cs="Sakkal Majalla"/>
          <w:color w:val="000000"/>
          <w:sz w:val="32"/>
          <w:szCs w:val="32"/>
          <w:rtl/>
        </w:rPr>
        <w:footnoteReference w:id="37"/>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غير أن ما يعنيني هنا هو قول حسين خمري: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نلاحظ على قول عبد الملك مرتاض أنه اكتفى بالتعريف الذي أورده صاحب لسان العرب ولم يتجاوز الدلالة اللغوية المعجمية. </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ولكن البحث في تراث الأصوليين بين أن مفهوم النص كما تداول في بيئتهم يقترن في تعريفه وكيفياته الإجرائية للمفهوم المعاصر للنص بل يتجاوزه في الكثير من المواضع الدقيقة))</w:t>
      </w:r>
      <w:r>
        <w:rPr>
          <w:rStyle w:val="Appelnotedebasdep"/>
          <w:rFonts w:ascii="Sakkal Majalla" w:hAnsi="Sakkal Majalla" w:cs="Sakkal Majalla"/>
          <w:color w:val="000000"/>
          <w:sz w:val="32"/>
          <w:szCs w:val="32"/>
          <w:rtl/>
        </w:rPr>
        <w:footnoteReference w:id="38"/>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فالاضطراب في التحديد وصفه الباحث في بعدين أساسين هما:</w:t>
      </w:r>
    </w:p>
    <w:p w:rsidR="005C5309" w:rsidRDefault="005C5309" w:rsidP="005C5309">
      <w:pPr>
        <w:pStyle w:val="Paragraphedeliste"/>
        <w:numPr>
          <w:ilvl w:val="0"/>
          <w:numId w:val="1"/>
        </w:numPr>
        <w:bidi/>
        <w:ind w:firstLine="397"/>
        <w:rPr>
          <w:rFonts w:ascii="Sakkal Majalla" w:hAnsi="Sakkal Majalla" w:cs="Sakkal Majalla"/>
          <w:color w:val="000000"/>
          <w:sz w:val="32"/>
          <w:rtl/>
        </w:rPr>
      </w:pPr>
      <w:r>
        <w:rPr>
          <w:rFonts w:ascii="Sakkal Majalla" w:hAnsi="Sakkal Majalla" w:cs="Sakkal Majalla"/>
          <w:color w:val="000000"/>
          <w:sz w:val="32"/>
          <w:rtl/>
        </w:rPr>
        <w:t>الطبيعة الإشكالية للمصطلح.</w:t>
      </w:r>
    </w:p>
    <w:p w:rsidR="005C5309" w:rsidRDefault="005C5309" w:rsidP="005C5309">
      <w:pPr>
        <w:pStyle w:val="Paragraphedeliste"/>
        <w:numPr>
          <w:ilvl w:val="0"/>
          <w:numId w:val="1"/>
        </w:numPr>
        <w:bidi/>
        <w:ind w:firstLine="397"/>
        <w:rPr>
          <w:rFonts w:ascii="Sakkal Majalla" w:hAnsi="Sakkal Majalla" w:cs="Sakkal Majalla"/>
          <w:color w:val="000000"/>
          <w:sz w:val="32"/>
        </w:rPr>
      </w:pPr>
      <w:r>
        <w:rPr>
          <w:rFonts w:ascii="Sakkal Majalla" w:hAnsi="Sakkal Majalla" w:cs="Sakkal Majalla"/>
          <w:color w:val="000000"/>
          <w:sz w:val="32"/>
          <w:rtl/>
        </w:rPr>
        <w:t>أن المفهوم لم يستقر نقديا لانضباطه بما يتعلق به.</w:t>
      </w:r>
    </w:p>
    <w:p w:rsidR="005C5309" w:rsidRDefault="005C5309" w:rsidP="005C5309">
      <w:pPr>
        <w:bidi/>
        <w:ind w:firstLine="397"/>
        <w:jc w:val="both"/>
        <w:rPr>
          <w:rFonts w:ascii="Sakkal Majalla" w:hAnsi="Sakkal Majalla" w:cs="Sakkal Majalla"/>
          <w:color w:val="000000"/>
          <w:sz w:val="32"/>
          <w:szCs w:val="32"/>
        </w:rPr>
      </w:pPr>
      <w:r>
        <w:rPr>
          <w:rFonts w:ascii="Sakkal Majalla" w:hAnsi="Sakkal Majalla" w:cs="Sakkal Majalla"/>
          <w:color w:val="000000"/>
          <w:sz w:val="32"/>
          <w:szCs w:val="32"/>
          <w:rtl/>
        </w:rPr>
        <w:t xml:space="preserve">مع أنني لم أنشغل بالعزل الخاص بين التشقيقين الأدبي والأصولي، فإنني أتساءل هنا هل يمكننا في ثقافتنا العربية الإسلامية أن نخرج مفهومًا لا يتساوق ومكونات الثقافة؟ ما النسق الغالب فيها والحاكم على مصادرها؟ </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سنصل حتمًا إلى النتيجة الآنفة التي وصل إليها حسين خمري من كون التشقيق يؤول إلى علة تتحاكم إلى الذوات المتساكنة في المصطلح، وعلة التركيب في المصطلح هو التخريج الفقهي.</w:t>
      </w:r>
    </w:p>
    <w:p w:rsidR="005C5309" w:rsidRDefault="005C5309" w:rsidP="005C5309">
      <w:pPr>
        <w:bidi/>
        <w:ind w:firstLine="397"/>
        <w:jc w:val="both"/>
        <w:rPr>
          <w:rFonts w:ascii="Sakkal Majalla" w:hAnsi="Sakkal Majalla" w:cs="Sakkal Majalla"/>
          <w:color w:val="000000"/>
          <w:sz w:val="32"/>
          <w:szCs w:val="32"/>
          <w:rtl/>
          <w:lang w:bidi="ar-EG"/>
        </w:rPr>
      </w:pPr>
      <w:r>
        <w:rPr>
          <w:rFonts w:ascii="Sakkal Majalla" w:hAnsi="Sakkal Majalla" w:cs="Sakkal Majalla"/>
          <w:color w:val="000000"/>
          <w:sz w:val="32"/>
          <w:szCs w:val="32"/>
          <w:rtl/>
        </w:rPr>
        <w:t>وهو ليس علة المصطلح المبحوث فحسب، بل هو مكمن الثقافة الإسلامية كلها.</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لذلك لم تفصل هذه الثقافة بين التخريج الفقهي والأدبي، والدليل من داخل الثقافة الأصولية ذاتها فمفهوم النص عند الأصوليين لم يكن بمسوغ البحث في ذاته بقدر ماكان مرتبطا بالدلالة، ما يقوله النص، ما يريد أن يحققه التشريع.</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وليس للدليل اللغوي الذي ساقه ابن منظور عمل في التخريج الأصولي إلا من جهة الحاجة للتأثيل اللغوي، وكيفية تكوثر المصطلح في ما يدل على أكثر من وجه، ليس في كل الأحوال أن النص هو الظاهر، بل النص درجة من درجات الوضوح عندهم، لذلك فهم يقسمون اللفظ من جهة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وضوح الدلالة إلى قسمين: الظاهر والنص))</w:t>
      </w:r>
      <w:r>
        <w:rPr>
          <w:rStyle w:val="Appelnotedebasdep"/>
          <w:rFonts w:ascii="Sakkal Majalla" w:hAnsi="Sakkal Majalla" w:cs="Sakkal Majalla"/>
          <w:color w:val="000000"/>
          <w:sz w:val="32"/>
          <w:szCs w:val="32"/>
          <w:rtl/>
        </w:rPr>
        <w:footnoteReference w:id="39"/>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لذلك يقولون أن النص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هو ما ازداد وضوحا عن الظاهر بسبب قصد الشارع لمعناه أصالة))</w:t>
      </w:r>
      <w:r>
        <w:rPr>
          <w:rStyle w:val="Appelnotedebasdep"/>
          <w:rFonts w:ascii="Sakkal Majalla" w:hAnsi="Sakkal Majalla" w:cs="Sakkal Majalla"/>
          <w:color w:val="000000"/>
          <w:sz w:val="32"/>
          <w:szCs w:val="32"/>
          <w:rtl/>
        </w:rPr>
        <w:footnoteReference w:id="40"/>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وعليه فالمعنى مرتبط بقصد الشارع في بلاغه، ويُعرف قصده من خلال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من سياقه، أو سبب نزوله أو وروده من الأحاديث لا من الصيغة نفسها))</w:t>
      </w:r>
      <w:r>
        <w:rPr>
          <w:rStyle w:val="Appelnotedebasdep"/>
          <w:rFonts w:ascii="Sakkal Majalla" w:hAnsi="Sakkal Majalla" w:cs="Sakkal Majalla"/>
          <w:color w:val="000000"/>
          <w:sz w:val="32"/>
          <w:szCs w:val="32"/>
          <w:rtl/>
        </w:rPr>
        <w:footnoteReference w:id="41"/>
      </w:r>
      <w:r>
        <w:rPr>
          <w:rFonts w:ascii="Sakkal Majalla" w:hAnsi="Sakkal Majalla" w:cs="Sakkal Majalla"/>
          <w:color w:val="000000"/>
          <w:sz w:val="32"/>
          <w:szCs w:val="32"/>
          <w:rtl/>
        </w:rPr>
        <w:t>، وهنا أقف عند دقيقة مهمة هي أن التعريف عند الأصوليين متعلق بالعلوم الخارجية وهي العلوم التي تعضد قصد الشارع ولا تتعلق بالمفهوم من الداخل، لما له من مزيد تنبيه على الحكم وقطعه بين جمهور المخاطبين به.</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إن النص في المدلول الإسلامي متعلق بدور حضاري يحيل على دلالة الوحي، في حين أنه في الثقافة الغربية سُلب هذا الدور، لذلك نجد له طبيعة سائلة في التخاريج المعاصرة فهو مفهوم أرضي.</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أما في الثقافة الإسلامية فهو ما يزال ذا طبيعة متكلسة لم ينفصل عن طبيعته المتعالية والمقصود منها التشريع. حيث أصبح النص منتجا للثقافة من خلال خاصية التشريع.</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يقول نصر حامد أبو زيد: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لكن القول بأن النص منتج ثقافي يمثل بالنسبة للقرآن مرحلة التكون والاكتمال. وهي مرحلة صار النص بعدها منتجًا للثقافة بمعنى أنه صار هو النص المهيمن المسيطر الذي تقاس عليه النصوص وتحدد به مشروعيتها. </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إن الفارق بين المرحلتين في تاريخ النص هو الفارق بين استمداده من الثقافة وتعبيره عنها وبين إمداده للثقافة وتغييره لها)) </w:t>
      </w:r>
      <w:r>
        <w:rPr>
          <w:rStyle w:val="Appelnotedebasdep"/>
          <w:rFonts w:ascii="Sakkal Majalla" w:hAnsi="Sakkal Majalla" w:cs="Sakkal Majalla"/>
          <w:color w:val="000000"/>
          <w:sz w:val="32"/>
          <w:szCs w:val="32"/>
          <w:rtl/>
        </w:rPr>
        <w:footnoteReference w:id="42"/>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ولما أصبح النص فاعلًا في الثقافة ومنتجًا لها بات مركز الدائرة يشد إليه ولا تشذ عنه تفاعلاته الجانبية، حيث باتت الثقافة تحتكم إليه في استمداد شرعيتها، لأن بؤرة التخريج للمصطلح في الثقافة الإسلامية يحيل إلى مفهوم الوحي وهو النقطة النووية للمصطلح.</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فإن تعدد الدلالة أحال إلى اتساع الدائرة، وكثرة الأطياف المتساكنة داخله تحولت مع الوقت إلى حاكمية مطلقة مُنحت له من قبيل الجماعة القارئة، ومهما قيل عن دلالات النص وتعدديتها كما أورد بذلك الزركشي والسيوطي فإنه بات يتعلق بما يلعبه المصطلح في الثقافة ذاتها، أدى إلى وجود مقاومة شديدة تسكن الثقافة ذاتها، تمانع من تحويل في طبيعة المصطلح نتيجة الطبيعة المتعالية والشحونة العاطفية التي بات يرتبط بها الأخير.</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وذلك يجعلني أقول: إن تلك الطبيعة السائلة جعلت المفهوم يعرف نقلة في الثقافة الغربية نتيجة الفصل الطبيعي بين المقدس والمدنس. </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في حين أنه لم يعرف تلك النقلة في الثقافة الإسلامية لما تعلق به من تقديس الناتج عن اشتغال مبدأ العصمة الذي عطل حدوث النقلة، هذا التعطيل جعل الناقد العربي يشعر بضرورة الاستعانة بالتخريج الغربي لنظرية النص، فالعامل الفقهي لعب دورًا ثقافيًا مهما في تحجيم المصطلح على أن يتدافع زمينا ليحافظ على تَصَلبه، لذلك تمت الحاجة لمفهمة الآخر لتطويع السكون أو التناهي الذي أصاب منظومتنا المصطلحية.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هذا التحديد للمنزع الإشكالي بين الثقافتين أدى إلى تدافع الأسئلة والعلاقات بين النص وما يحيط به ومن أهم الإشكاليات العلاقة التي تكون بين النص، القارئ فيما يحدده ياوس: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تستبعد ما يسميه آيزر مع </w:t>
      </w:r>
      <w:proofErr w:type="spellStart"/>
      <w:r>
        <w:rPr>
          <w:rFonts w:ascii="Sakkal Majalla" w:hAnsi="Sakkal Majalla" w:cs="Sakkal Majalla"/>
          <w:color w:val="000000"/>
          <w:sz w:val="32"/>
          <w:szCs w:val="32"/>
        </w:rPr>
        <w:t>Erring</w:t>
      </w:r>
      <w:proofErr w:type="spellEnd"/>
      <w:r>
        <w:rPr>
          <w:rFonts w:ascii="Sakkal Majalla" w:hAnsi="Sakkal Majalla" w:cs="Sakkal Majalla"/>
          <w:color w:val="000000"/>
          <w:sz w:val="32"/>
          <w:szCs w:val="32"/>
        </w:rPr>
        <w:t xml:space="preserve"> </w:t>
      </w:r>
      <w:proofErr w:type="spellStart"/>
      <w:r>
        <w:rPr>
          <w:rFonts w:ascii="Sakkal Majalla" w:hAnsi="Sakkal Majalla" w:cs="Sakkal Majalla"/>
          <w:color w:val="000000"/>
          <w:sz w:val="32"/>
          <w:szCs w:val="32"/>
        </w:rPr>
        <w:t>goffman</w:t>
      </w:r>
      <w:proofErr w:type="spellEnd"/>
      <w:r>
        <w:rPr>
          <w:rFonts w:ascii="Sakkal Majalla" w:hAnsi="Sakkal Majalla" w:cs="Sakkal Majalla"/>
          <w:color w:val="000000"/>
          <w:sz w:val="32"/>
          <w:szCs w:val="32"/>
          <w:rtl/>
        </w:rPr>
        <w:t xml:space="preserve"> إيرينغ كوفمان وضعية الوجه للوجه </w:t>
      </w:r>
      <w:r>
        <w:rPr>
          <w:rFonts w:ascii="Sakkal Majalla" w:hAnsi="Sakkal Majalla" w:cs="Sakkal Majalla"/>
          <w:color w:val="000000"/>
          <w:sz w:val="32"/>
          <w:szCs w:val="32"/>
        </w:rPr>
        <w:t>face to face situation</w:t>
      </w:r>
      <w:r>
        <w:rPr>
          <w:rFonts w:ascii="Sakkal Majalla" w:hAnsi="Sakkal Majalla" w:cs="Sakkal Majalla"/>
          <w:color w:val="000000"/>
          <w:sz w:val="32"/>
          <w:szCs w:val="32"/>
          <w:rtl/>
        </w:rPr>
        <w:t xml:space="preserve"> التي تطبع كل شكل من أشكال التفاعل الإجتماعي))</w:t>
      </w:r>
      <w:r>
        <w:rPr>
          <w:rStyle w:val="Appelnotedebasdep"/>
          <w:rFonts w:ascii="Sakkal Majalla" w:hAnsi="Sakkal Majalla" w:cs="Sakkal Majalla"/>
          <w:color w:val="000000"/>
          <w:sz w:val="32"/>
          <w:szCs w:val="32"/>
          <w:rtl/>
        </w:rPr>
        <w:footnoteReference w:id="43"/>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إن القارئ الذي لا يكون مزودًا ببنية معرفية يستخدمها كشفرة لتحليل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لا يستطيع أصلًا أن يشكل تواصلًا مع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لأنه لا يوجد إطار مرجعي للتفاهم.</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ومن شروط تواصل القارئ بالنص أن يكون القارئ واعيًا بالبنية الثقافية التي يطرحها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وسيعتمد نجاح فعل التواصل هذا على الدرجة التي يؤسس فيها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نفسه كعامل ارتباط في وعي القارئ))</w:t>
      </w:r>
      <w:r>
        <w:rPr>
          <w:rStyle w:val="Appelnotedebasdep"/>
          <w:rFonts w:ascii="Sakkal Majalla" w:hAnsi="Sakkal Majalla" w:cs="Sakkal Majalla"/>
          <w:color w:val="000000"/>
          <w:sz w:val="32"/>
          <w:szCs w:val="32"/>
          <w:rtl/>
        </w:rPr>
        <w:footnoteReference w:id="44"/>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إن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بالنسبة للقارئ هو مثير وفق الوقع الذي يحدثه في نفسه، حيث يتزعزع هذا الأخير وفق الشحونات أو المعطيات التي يحملها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فكل ما يحاوله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أن ينشط ملكات القارئ، ويحمل</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في طياته هذه اللطائف الاجتماعية التي يضمن استعمالها من قبل القراء وبالتالي تشكيل موقف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الفهم)) اتجاهها.</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ab/>
        <w:t xml:space="preserve">وانطلاقًا على ما تأسس تصبح القراءة فعلا يعمل على تنشيط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وهنا يقول آيزر: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إن القراءة نشاط يوجهه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وهذا بدوره لابد من أن يعالجه القارئ الذي يتأثر بدوره بما يعالج، وإنه لمن الصعب أن نصف هذا التفاعل))</w:t>
      </w:r>
      <w:r>
        <w:rPr>
          <w:rStyle w:val="Appelnotedebasdep"/>
          <w:rFonts w:ascii="Sakkal Majalla" w:hAnsi="Sakkal Majalla" w:cs="Sakkal Majalla"/>
          <w:color w:val="000000"/>
          <w:sz w:val="32"/>
          <w:szCs w:val="32"/>
          <w:rtl/>
        </w:rPr>
        <w:footnoteReference w:id="45"/>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لا يتم التفاعل فقط بين القارئ و((النص)) الفعلي، بل كذلك وبالدرجة نفسها بالأفعال المرتبطة بالتجارب مع ذلك النص))</w:t>
      </w:r>
      <w:r>
        <w:rPr>
          <w:rStyle w:val="Appelnotedebasdep"/>
          <w:rFonts w:ascii="Sakkal Majalla" w:hAnsi="Sakkal Majalla" w:cs="Sakkal Majalla"/>
          <w:color w:val="000000"/>
          <w:sz w:val="32"/>
          <w:szCs w:val="32"/>
          <w:rtl/>
        </w:rPr>
        <w:footnoteReference w:id="46"/>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وهنا يصر آيزر على مفهوم وجهة النظر الجوالة</w:t>
      </w:r>
      <w:r>
        <w:rPr>
          <w:rStyle w:val="Appelnotedebasdep"/>
          <w:rFonts w:ascii="Sakkal Majalla" w:hAnsi="Sakkal Majalla" w:cs="Sakkal Majalla"/>
          <w:color w:val="000000"/>
          <w:sz w:val="32"/>
          <w:szCs w:val="32"/>
          <w:rtl/>
        </w:rPr>
        <w:footnoteReference w:id="47"/>
      </w:r>
      <w:r>
        <w:rPr>
          <w:rFonts w:ascii="Sakkal Majalla" w:hAnsi="Sakkal Majalla" w:cs="Sakkal Majalla"/>
          <w:color w:val="000000"/>
          <w:sz w:val="32"/>
          <w:szCs w:val="32"/>
          <w:rtl/>
        </w:rPr>
        <w:t xml:space="preserve">، ((من حيث أن معنى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لا يُكنه دفعة واحدة بل يأخذ القارئ في اكتسابه تدريجيًا، وهذا ما يؤكد أن ثقافة القارئ تعمل على حل المخزون الثقافي للنص من كونه يتعدى إلى غيره، وغاية وجهة النظر الجوالة للقارئ هي بلوغ التأويل المتسق))</w:t>
      </w:r>
      <w:r>
        <w:rPr>
          <w:rStyle w:val="Appelnotedebasdep"/>
          <w:rFonts w:ascii="Sakkal Majalla" w:hAnsi="Sakkal Majalla" w:cs="Sakkal Majalla"/>
          <w:color w:val="000000"/>
          <w:sz w:val="32"/>
          <w:szCs w:val="32"/>
          <w:rtl/>
        </w:rPr>
        <w:footnoteReference w:id="48"/>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غير أن آيزر يناقش مبدأ التفاعل بين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والقارئ وفق شرط اللاتماثل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فالتفاعل بين شخصين في الحقل الاجتماعي مثلًا لا يحدث بشكل أقوى إلا عندما يجهل كل واحد منها هوية الآخر، </w:t>
      </w:r>
      <w:r>
        <w:rPr>
          <w:rFonts w:ascii="Sakkal Majalla" w:hAnsi="Sakkal Majalla" w:cs="Sakkal Majalla"/>
          <w:color w:val="000000"/>
          <w:sz w:val="32"/>
          <w:szCs w:val="32"/>
          <w:rtl/>
        </w:rPr>
        <w:lastRenderedPageBreak/>
        <w:t>لأنهما حينئذ يكونان عن بعضهما البعض تصورًا غير مطابق للحقيقة، ويتصرفان على أساس هذه الصورة المفترضة عن بعضهما البعض))</w:t>
      </w:r>
      <w:r>
        <w:rPr>
          <w:rStyle w:val="Appelnotedebasdep"/>
          <w:rFonts w:ascii="Sakkal Majalla" w:hAnsi="Sakkal Majalla" w:cs="Sakkal Majalla"/>
          <w:color w:val="000000"/>
          <w:sz w:val="32"/>
          <w:szCs w:val="32"/>
          <w:rtl/>
        </w:rPr>
        <w:footnoteReference w:id="49"/>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وعليه فالنص لا يكتفي بذاته، بل يتعداها، وهنا نجد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نوعا من التداخل والالتحام بين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وقارئه، ينتج عنه تأثير جمالي لتصبح بذلك آلية القراءة متحركة بين قطبين؛ القطب الفني للنص، والقطب الجمالي.يختص الأول بالنص وصنعته اللغوية، ويختص الثاني بنشاط عملية القراءة وكلا ينصهر في الآخر، ويحل فيه ليتشكل من ذلك النص))</w:t>
      </w:r>
      <w:r>
        <w:rPr>
          <w:rStyle w:val="Appelnotedebasdep"/>
          <w:rFonts w:ascii="Sakkal Majalla" w:hAnsi="Sakkal Majalla" w:cs="Sakkal Majalla"/>
          <w:color w:val="000000"/>
          <w:sz w:val="32"/>
          <w:szCs w:val="32"/>
          <w:rtl/>
        </w:rPr>
        <w:footnoteReference w:id="50"/>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وانطلاقا مما تبين، إن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يكشف وجهات نظر متغيرة لدى القارئ، والتفاعل الحاصل إنما يتم لملأ الفجوات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إن اللاتماثل والاحتفالية واللاشيء كلها أشكال مختلفة من البياض المكون، وعند المحدد الذي هو أساس كل عمليات التفاعل))</w:t>
      </w:r>
      <w:r>
        <w:rPr>
          <w:rStyle w:val="Appelnotedebasdep"/>
          <w:rFonts w:ascii="Sakkal Majalla" w:hAnsi="Sakkal Majalla" w:cs="Sakkal Majalla"/>
          <w:color w:val="000000"/>
          <w:sz w:val="32"/>
          <w:szCs w:val="32"/>
          <w:rtl/>
        </w:rPr>
        <w:footnoteReference w:id="51"/>
      </w:r>
      <w:r>
        <w:rPr>
          <w:rFonts w:ascii="Sakkal Majalla" w:hAnsi="Sakkal Majalla" w:cs="Sakkal Majalla"/>
          <w:color w:val="000000"/>
          <w:sz w:val="32"/>
          <w:szCs w:val="32"/>
          <w:rtl/>
        </w:rPr>
        <w:t xml:space="preserve">، وهنا نلحظ أن سمة التفاعل هي التي تخلق لدى القارئ التحرك نحو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النص)) لسد الثغرات من عملية الإنتاج التي يحاول أن يقدمها باتجاه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واحتل مفهوم البياض مكانة متميزة في الطروحات التي قدمها آيزر وهي تشكل نقطة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الانطلاق بالنسبة له، بل والمعطيات الناقصة التي يجب على القارئ تتمتها وملأها ليس في حقيقة الأمر إلا نقطة الوصول))</w:t>
      </w:r>
      <w:r>
        <w:rPr>
          <w:rStyle w:val="Appelnotedebasdep"/>
          <w:rFonts w:ascii="Sakkal Majalla" w:hAnsi="Sakkal Majalla" w:cs="Sakkal Majalla"/>
          <w:color w:val="000000"/>
          <w:sz w:val="32"/>
          <w:szCs w:val="32"/>
          <w:rtl/>
        </w:rPr>
        <w:footnoteReference w:id="52"/>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وهنا حاول عديد من الباحثين وعلى رأسهم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فيش)) تحديد مختلف البياضات النصية إلا أن:))رولف كلوبفر </w:t>
      </w:r>
      <w:proofErr w:type="spellStart"/>
      <w:r>
        <w:rPr>
          <w:rFonts w:ascii="Sakkal Majalla" w:hAnsi="Sakkal Majalla" w:cs="Sakkal Majalla"/>
          <w:color w:val="000000"/>
          <w:sz w:val="32"/>
          <w:szCs w:val="32"/>
        </w:rPr>
        <w:t>h.kloeppfer</w:t>
      </w:r>
      <w:proofErr w:type="spellEnd"/>
      <w:r>
        <w:rPr>
          <w:rFonts w:ascii="Sakkal Majalla" w:hAnsi="Sakkal Majalla" w:cs="Sakkal Majalla"/>
          <w:color w:val="000000"/>
          <w:sz w:val="32"/>
          <w:szCs w:val="32"/>
          <w:rtl/>
        </w:rPr>
        <w:t xml:space="preserve"> قام بترتيب البياضات بواسطة خمس مقولات مختلفة</w:t>
      </w:r>
      <w:r>
        <w:rPr>
          <w:rStyle w:val="Appelnotedebasdep"/>
          <w:rFonts w:ascii="Sakkal Majalla" w:hAnsi="Sakkal Majalla" w:cs="Sakkal Majalla"/>
          <w:color w:val="000000"/>
          <w:sz w:val="32"/>
          <w:szCs w:val="32"/>
          <w:rtl/>
        </w:rPr>
        <w:footnoteReference w:id="53"/>
      </w:r>
      <w:r>
        <w:rPr>
          <w:rFonts w:ascii="Sakkal Majalla" w:hAnsi="Sakkal Majalla" w:cs="Sakkal Majalla"/>
          <w:color w:val="000000"/>
          <w:sz w:val="32"/>
          <w:szCs w:val="32"/>
          <w:rtl/>
        </w:rPr>
        <w:t>.</w:t>
      </w:r>
    </w:p>
    <w:p w:rsidR="005C5309" w:rsidRDefault="005C5309" w:rsidP="005C5309">
      <w:pPr>
        <w:pStyle w:val="Paragraphedeliste"/>
        <w:numPr>
          <w:ilvl w:val="0"/>
          <w:numId w:val="2"/>
        </w:numPr>
        <w:bidi/>
        <w:ind w:firstLine="397"/>
        <w:rPr>
          <w:rFonts w:ascii="Sakkal Majalla" w:hAnsi="Sakkal Majalla" w:cs="Sakkal Majalla"/>
          <w:color w:val="000000"/>
          <w:sz w:val="32"/>
          <w:rtl/>
        </w:rPr>
      </w:pPr>
      <w:r>
        <w:rPr>
          <w:rFonts w:ascii="Sakkal Majalla" w:hAnsi="Sakkal Majalla" w:cs="Sakkal Majalla"/>
          <w:color w:val="000000"/>
          <w:sz w:val="32"/>
          <w:rtl/>
        </w:rPr>
        <w:t xml:space="preserve">شكل الالتباس غير المحقق </w:t>
      </w:r>
      <w:r>
        <w:rPr>
          <w:rFonts w:ascii="Sakkal Majalla" w:hAnsi="Sakkal Majalla" w:cs="Sakkal Majalla"/>
          <w:color w:val="000000"/>
          <w:sz w:val="32"/>
        </w:rPr>
        <w:t>Aléatoire</w:t>
      </w:r>
      <w:r>
        <w:rPr>
          <w:rFonts w:ascii="Sakkal Majalla" w:hAnsi="Sakkal Majalla" w:cs="Sakkal Majalla"/>
          <w:color w:val="000000"/>
          <w:sz w:val="32"/>
          <w:rtl/>
        </w:rPr>
        <w:t xml:space="preserve"> المطابق لما يشير إليه </w:t>
      </w:r>
      <w:r>
        <w:rPr>
          <w:rFonts w:ascii="Sakkal Majalla" w:hAnsi="Sakkal Majalla" w:cs="Sakkal Majalla"/>
          <w:color w:val="000000"/>
          <w:sz w:val="32"/>
          <w:rtl/>
          <w:lang w:bidi="ar-DZ"/>
        </w:rPr>
        <w:t>((</w:t>
      </w:r>
      <w:r>
        <w:rPr>
          <w:rFonts w:ascii="Sakkal Majalla" w:hAnsi="Sakkal Majalla" w:cs="Sakkal Majalla"/>
          <w:color w:val="000000"/>
          <w:sz w:val="32"/>
          <w:rtl/>
        </w:rPr>
        <w:t>النص)) بسبب نقص في الملاءمة.</w:t>
      </w:r>
    </w:p>
    <w:p w:rsidR="005C5309" w:rsidRDefault="005C5309" w:rsidP="005C5309">
      <w:pPr>
        <w:pStyle w:val="Paragraphedeliste"/>
        <w:numPr>
          <w:ilvl w:val="0"/>
          <w:numId w:val="2"/>
        </w:numPr>
        <w:bidi/>
        <w:ind w:firstLine="397"/>
        <w:rPr>
          <w:rFonts w:ascii="Sakkal Majalla" w:hAnsi="Sakkal Majalla" w:cs="Sakkal Majalla"/>
          <w:color w:val="000000"/>
          <w:sz w:val="32"/>
        </w:rPr>
      </w:pPr>
      <w:r>
        <w:rPr>
          <w:rFonts w:ascii="Sakkal Majalla" w:hAnsi="Sakkal Majalla" w:cs="Sakkal Majalla"/>
          <w:color w:val="000000"/>
          <w:sz w:val="32"/>
          <w:rtl/>
        </w:rPr>
        <w:t xml:space="preserve">كل مكان أو </w:t>
      </w:r>
      <w:r>
        <w:rPr>
          <w:rFonts w:ascii="Sakkal Majalla" w:hAnsi="Sakkal Majalla" w:cs="Sakkal Majalla"/>
          <w:color w:val="000000"/>
          <w:sz w:val="32"/>
          <w:rtl/>
          <w:lang w:bidi="ar-DZ"/>
        </w:rPr>
        <w:t>((</w:t>
      </w:r>
      <w:r>
        <w:rPr>
          <w:rFonts w:ascii="Sakkal Majalla" w:hAnsi="Sakkal Majalla" w:cs="Sakkal Majalla"/>
          <w:color w:val="000000"/>
          <w:sz w:val="32"/>
          <w:rtl/>
        </w:rPr>
        <w:t>نقطة )) في</w:t>
      </w:r>
      <w:r>
        <w:rPr>
          <w:rFonts w:ascii="Sakkal Majalla" w:hAnsi="Sakkal Majalla" w:cs="Sakkal Majalla"/>
          <w:color w:val="000000"/>
          <w:sz w:val="32"/>
          <w:rtl/>
          <w:lang w:bidi="ar-DZ"/>
        </w:rPr>
        <w:t xml:space="preserve"> ((</w:t>
      </w:r>
      <w:r>
        <w:rPr>
          <w:rFonts w:ascii="Sakkal Majalla" w:hAnsi="Sakkal Majalla" w:cs="Sakkal Majalla"/>
          <w:color w:val="000000"/>
          <w:sz w:val="32"/>
          <w:rtl/>
        </w:rPr>
        <w:t>النص)) يحس القارئ فيهما نقصا ليست من الأسباب.</w:t>
      </w:r>
    </w:p>
    <w:p w:rsidR="005C5309" w:rsidRDefault="005C5309" w:rsidP="005C5309">
      <w:pPr>
        <w:pStyle w:val="Paragraphedeliste"/>
        <w:numPr>
          <w:ilvl w:val="0"/>
          <w:numId w:val="2"/>
        </w:numPr>
        <w:bidi/>
        <w:ind w:firstLine="397"/>
        <w:rPr>
          <w:rFonts w:ascii="Sakkal Majalla" w:hAnsi="Sakkal Majalla" w:cs="Sakkal Majalla"/>
          <w:color w:val="000000"/>
          <w:sz w:val="32"/>
        </w:rPr>
      </w:pPr>
      <w:r>
        <w:rPr>
          <w:rFonts w:ascii="Sakkal Majalla" w:hAnsi="Sakkal Majalla" w:cs="Sakkal Majalla"/>
          <w:color w:val="000000"/>
          <w:sz w:val="32"/>
          <w:rtl/>
        </w:rPr>
        <w:t xml:space="preserve">كل مكان أو </w:t>
      </w:r>
      <w:r>
        <w:rPr>
          <w:rFonts w:ascii="Sakkal Majalla" w:hAnsi="Sakkal Majalla" w:cs="Sakkal Majalla"/>
          <w:color w:val="000000"/>
          <w:sz w:val="32"/>
          <w:rtl/>
          <w:lang w:bidi="ar-DZ"/>
        </w:rPr>
        <w:t>((</w:t>
      </w:r>
      <w:r>
        <w:rPr>
          <w:rFonts w:ascii="Sakkal Majalla" w:hAnsi="Sakkal Majalla" w:cs="Sakkal Majalla"/>
          <w:color w:val="000000"/>
          <w:sz w:val="32"/>
          <w:rtl/>
        </w:rPr>
        <w:t xml:space="preserve">نقطة)) في </w:t>
      </w:r>
      <w:r>
        <w:rPr>
          <w:rFonts w:ascii="Sakkal Majalla" w:hAnsi="Sakkal Majalla" w:cs="Sakkal Majalla"/>
          <w:color w:val="000000"/>
          <w:sz w:val="32"/>
          <w:rtl/>
          <w:lang w:bidi="ar-DZ"/>
        </w:rPr>
        <w:t>((</w:t>
      </w:r>
      <w:r>
        <w:rPr>
          <w:rFonts w:ascii="Sakkal Majalla" w:hAnsi="Sakkal Majalla" w:cs="Sakkal Majalla"/>
          <w:color w:val="000000"/>
          <w:sz w:val="32"/>
          <w:rtl/>
        </w:rPr>
        <w:t>النص)) تعمدنا فيها إسكات شيء ما لتفعيل مشاركة القارئ.</w:t>
      </w:r>
    </w:p>
    <w:p w:rsidR="005C5309" w:rsidRDefault="005C5309" w:rsidP="005C5309">
      <w:pPr>
        <w:pStyle w:val="Paragraphedeliste"/>
        <w:numPr>
          <w:ilvl w:val="0"/>
          <w:numId w:val="2"/>
        </w:numPr>
        <w:bidi/>
        <w:ind w:firstLine="397"/>
        <w:rPr>
          <w:rFonts w:ascii="Sakkal Majalla" w:hAnsi="Sakkal Majalla" w:cs="Sakkal Majalla"/>
          <w:color w:val="000000"/>
          <w:sz w:val="32"/>
        </w:rPr>
      </w:pPr>
      <w:r>
        <w:rPr>
          <w:rFonts w:ascii="Sakkal Majalla" w:hAnsi="Sakkal Majalla" w:cs="Sakkal Majalla"/>
          <w:color w:val="000000"/>
          <w:sz w:val="32"/>
          <w:rtl/>
        </w:rPr>
        <w:t xml:space="preserve">كل مكان أو </w:t>
      </w:r>
      <w:r>
        <w:rPr>
          <w:rFonts w:ascii="Sakkal Majalla" w:hAnsi="Sakkal Majalla" w:cs="Sakkal Majalla"/>
          <w:color w:val="000000"/>
          <w:sz w:val="32"/>
          <w:rtl/>
          <w:lang w:bidi="ar-DZ"/>
        </w:rPr>
        <w:t>((</w:t>
      </w:r>
      <w:r>
        <w:rPr>
          <w:rFonts w:ascii="Sakkal Majalla" w:hAnsi="Sakkal Majalla" w:cs="Sakkal Majalla"/>
          <w:color w:val="000000"/>
          <w:sz w:val="32"/>
          <w:rtl/>
        </w:rPr>
        <w:t xml:space="preserve">نقطة)) في </w:t>
      </w:r>
      <w:r>
        <w:rPr>
          <w:rFonts w:ascii="Sakkal Majalla" w:hAnsi="Sakkal Majalla" w:cs="Sakkal Majalla"/>
          <w:color w:val="000000"/>
          <w:sz w:val="32"/>
          <w:rtl/>
          <w:lang w:bidi="ar-DZ"/>
        </w:rPr>
        <w:t>((</w:t>
      </w:r>
      <w:r>
        <w:rPr>
          <w:rFonts w:ascii="Sakkal Majalla" w:hAnsi="Sakkal Majalla" w:cs="Sakkal Majalla"/>
          <w:color w:val="000000"/>
          <w:sz w:val="32"/>
          <w:rtl/>
        </w:rPr>
        <w:t>النص)) يخفق القارئ في تحديد دلالاتها المتعارفة.</w:t>
      </w:r>
    </w:p>
    <w:p w:rsidR="005C5309" w:rsidRDefault="005C5309" w:rsidP="005C5309">
      <w:pPr>
        <w:pStyle w:val="Paragraphedeliste"/>
        <w:numPr>
          <w:ilvl w:val="0"/>
          <w:numId w:val="2"/>
        </w:numPr>
        <w:bidi/>
        <w:ind w:firstLine="397"/>
        <w:rPr>
          <w:rFonts w:ascii="Sakkal Majalla" w:hAnsi="Sakkal Majalla" w:cs="Sakkal Majalla"/>
          <w:color w:val="000000"/>
          <w:sz w:val="32"/>
        </w:rPr>
      </w:pPr>
      <w:r>
        <w:rPr>
          <w:rFonts w:ascii="Sakkal Majalla" w:hAnsi="Sakkal Majalla" w:cs="Sakkal Majalla"/>
          <w:color w:val="000000"/>
          <w:sz w:val="32"/>
          <w:rtl/>
        </w:rPr>
        <w:lastRenderedPageBreak/>
        <w:t xml:space="preserve">كل مكان أو </w:t>
      </w:r>
      <w:r>
        <w:rPr>
          <w:rFonts w:ascii="Sakkal Majalla" w:hAnsi="Sakkal Majalla" w:cs="Sakkal Majalla"/>
          <w:color w:val="000000"/>
          <w:sz w:val="32"/>
          <w:rtl/>
          <w:lang w:bidi="ar-DZ"/>
        </w:rPr>
        <w:t>((</w:t>
      </w:r>
      <w:r>
        <w:rPr>
          <w:rFonts w:ascii="Sakkal Majalla" w:hAnsi="Sakkal Majalla" w:cs="Sakkal Majalla"/>
          <w:color w:val="000000"/>
          <w:sz w:val="32"/>
          <w:rtl/>
        </w:rPr>
        <w:t xml:space="preserve">نقطة)) في </w:t>
      </w:r>
      <w:r>
        <w:rPr>
          <w:rFonts w:ascii="Sakkal Majalla" w:hAnsi="Sakkal Majalla" w:cs="Sakkal Majalla"/>
          <w:color w:val="000000"/>
          <w:sz w:val="32"/>
          <w:rtl/>
          <w:lang w:bidi="ar-DZ"/>
        </w:rPr>
        <w:t>((</w:t>
      </w:r>
      <w:r>
        <w:rPr>
          <w:rFonts w:ascii="Sakkal Majalla" w:hAnsi="Sakkal Majalla" w:cs="Sakkal Majalla"/>
          <w:color w:val="000000"/>
          <w:sz w:val="32"/>
          <w:rtl/>
        </w:rPr>
        <w:t>النص)) في أفق مرجعي أكثر تكثيفًا لا يمكن للقارئ أن يعطيه دلالة واحدة.</w:t>
      </w:r>
    </w:p>
    <w:p w:rsidR="005C5309" w:rsidRDefault="005C5309" w:rsidP="005C5309">
      <w:pPr>
        <w:bidi/>
        <w:ind w:firstLine="397"/>
        <w:jc w:val="both"/>
        <w:rPr>
          <w:rFonts w:ascii="Sakkal Majalla" w:hAnsi="Sakkal Majalla" w:cs="Sakkal Majalla"/>
          <w:color w:val="000000"/>
          <w:sz w:val="32"/>
          <w:szCs w:val="32"/>
        </w:rPr>
      </w:pPr>
      <w:r>
        <w:rPr>
          <w:rFonts w:ascii="Sakkal Majalla" w:hAnsi="Sakkal Majalla" w:cs="Sakkal Majalla"/>
          <w:color w:val="000000"/>
          <w:sz w:val="32"/>
          <w:szCs w:val="32"/>
          <w:rtl/>
        </w:rPr>
        <w:t>وهنا لا نجد أن المفهوم قد اكتمل منذ الطرح الذي قدمه آيزر بل مر بأطوار حتى أصبح على شخصيته المفهومية التي عرضها علينا آيزر.</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يعتبر الفيلسوف البولندي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رومان انجاردن)) من أهم تلامذة هوسرل تأثيرا في أصحاب مدرسة كونسطانس، ولاقت أطروحاته استحسانا عند كل من ((آيزر ))و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ياوس)) حول مفاهيم مختلفة منها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عدم التحديد)) و</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التعيين)) والاهتمام بالعلاقة بين النص والقارئ. ولعل آيزر أكثر من الآخرين اهتماما بآراء انجاردن حيث تمثل وعمق هذه الآراء وفق الطرح الذي قدمه عن نظرية القراءة.</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يرتبط مفهوم الفراغات بمفهوم ((التسلسل القصدي للجمل على النحو الذي شرحه انجاردن ثم طوره آيزر فيما بعد))</w:t>
      </w:r>
      <w:r>
        <w:rPr>
          <w:rStyle w:val="Appelnotedebasdep"/>
          <w:rFonts w:ascii="Sakkal Majalla" w:hAnsi="Sakkal Majalla" w:cs="Sakkal Majalla"/>
          <w:color w:val="000000"/>
          <w:sz w:val="32"/>
          <w:szCs w:val="32"/>
          <w:rtl/>
        </w:rPr>
        <w:footnoteReference w:id="54"/>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وقبل ذلك علينا استيعاب نظرية انجاردن حول ما يسميه بـ((مواقع اللاتحديد</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من خلال عرضه للطريقة التي يقدم بها العمل الفني.</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فإنه يرجع إلى إطار مرجعي ظاهراتي من أجل تعريف الموضوعات، وطبقا لهذا فهناك موضوعات واقعية محددة بشكل عام وأخرى مثالية مستقلة. الموضوعات الواقعية ينبغي فهمها والمعطيات المثالية ينبغي تكوينها))</w:t>
      </w:r>
      <w:r>
        <w:rPr>
          <w:rStyle w:val="Appelnotedebasdep"/>
          <w:rFonts w:ascii="Sakkal Majalla" w:hAnsi="Sakkal Majalla" w:cs="Sakkal Majalla"/>
          <w:color w:val="000000"/>
          <w:sz w:val="32"/>
          <w:szCs w:val="32"/>
          <w:rtl/>
        </w:rPr>
        <w:footnoteReference w:id="55"/>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ويتم هذا الإطار من خلال القصد فالموضوع القصدي الأدبي ينقصه التحديد الكامل بقدر ما تشتغل الجمل في النص باعتبارها موجهًا، على اعتبار أن التسلسل القصدي للجمل مهم.</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وذلك أن كل جملة تمثل مقدمة للجملة التالية وتشكل نوعًا من التعيين لما سوف يأتي، وهذا بدوره يغير من وضع المقدمة، وتتحول بذلك إلى تعيين لما تمت قراءته، وآيزر يستخدم مفهوم مواقع اللاتحديد للتمييز بين الموضوع القصدي والموضوعات الأخرى، من خلال لانهائية المعنى الذي تفترضه هذه المواقع.</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فهي تنبني على الموضوع القصدي المفتوح، وهنا تبدأ مهمة ملأ الفراغات لإسقاط جملة من الاحتمالات على هذه الثغرات بمعنى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أن الفجوات أو الفراغات هي المناطق غير المعبر عنها في الخطاب والتي تناط بالقارئ مهمة تعبئتها مما يؤدي إلى إنتاج المعنى نتيجة التفاعل القائم بين النص والقارئ))</w:t>
      </w:r>
      <w:r>
        <w:rPr>
          <w:rStyle w:val="Appelnotedebasdep"/>
          <w:rFonts w:ascii="Sakkal Majalla" w:hAnsi="Sakkal Majalla" w:cs="Sakkal Majalla"/>
          <w:color w:val="000000"/>
          <w:sz w:val="32"/>
          <w:szCs w:val="32"/>
          <w:rtl/>
        </w:rPr>
        <w:footnoteReference w:id="56"/>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إن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الأدبي يتشكل وفق المعطى الثقافي الذي أفرزه، هذا المعطى، حيث يتحدد في إطار زماني واجتماعي، ويتشكل ((النص)) وفق تلقيه من قبل الجمهور، ليكون الأفق أحد أهم الآليات التي ناقشناها وهي نظرية القراءة على أساسين.</w:t>
      </w:r>
    </w:p>
    <w:p w:rsidR="005C5309" w:rsidRDefault="005C5309" w:rsidP="005C5309">
      <w:pPr>
        <w:pStyle w:val="Paragraphedeliste"/>
        <w:numPr>
          <w:ilvl w:val="0"/>
          <w:numId w:val="3"/>
        </w:numPr>
        <w:bidi/>
        <w:ind w:firstLine="397"/>
        <w:rPr>
          <w:rFonts w:ascii="Sakkal Majalla" w:hAnsi="Sakkal Majalla" w:cs="Sakkal Majalla"/>
          <w:color w:val="000000"/>
          <w:sz w:val="32"/>
          <w:rtl/>
        </w:rPr>
      </w:pPr>
      <w:r>
        <w:rPr>
          <w:rFonts w:ascii="Sakkal Majalla" w:hAnsi="Sakkal Majalla" w:cs="Sakkal Majalla"/>
          <w:color w:val="000000"/>
          <w:sz w:val="32"/>
          <w:rtl/>
        </w:rPr>
        <w:t>مفهوم الأفق.</w:t>
      </w:r>
    </w:p>
    <w:p w:rsidR="005C5309" w:rsidRDefault="005C5309" w:rsidP="005C5309">
      <w:pPr>
        <w:pStyle w:val="Paragraphedeliste"/>
        <w:numPr>
          <w:ilvl w:val="0"/>
          <w:numId w:val="3"/>
        </w:numPr>
        <w:bidi/>
        <w:ind w:firstLine="397"/>
        <w:rPr>
          <w:rFonts w:ascii="Sakkal Majalla" w:hAnsi="Sakkal Majalla" w:cs="Sakkal Majalla"/>
          <w:color w:val="000000"/>
          <w:sz w:val="32"/>
        </w:rPr>
      </w:pPr>
      <w:r>
        <w:rPr>
          <w:rFonts w:ascii="Sakkal Majalla" w:hAnsi="Sakkal Majalla" w:cs="Sakkal Majalla"/>
          <w:color w:val="000000"/>
          <w:sz w:val="32"/>
          <w:rtl/>
        </w:rPr>
        <w:t>اندماج الأفاق.</w:t>
      </w:r>
    </w:p>
    <w:p w:rsidR="005C5309" w:rsidRDefault="005C5309" w:rsidP="005C5309">
      <w:pPr>
        <w:bidi/>
        <w:ind w:firstLine="397"/>
        <w:jc w:val="both"/>
        <w:rPr>
          <w:rFonts w:ascii="Sakkal Majalla" w:hAnsi="Sakkal Majalla" w:cs="Sakkal Majalla"/>
          <w:color w:val="000000"/>
          <w:sz w:val="32"/>
          <w:szCs w:val="32"/>
        </w:rPr>
      </w:pPr>
      <w:r>
        <w:rPr>
          <w:rFonts w:ascii="Sakkal Majalla" w:hAnsi="Sakkal Majalla" w:cs="Sakkal Majalla"/>
          <w:color w:val="000000"/>
          <w:sz w:val="32"/>
          <w:szCs w:val="32"/>
          <w:rtl/>
        </w:rPr>
        <w:t xml:space="preserve">يفهم الأول في ظل الطروحات التي قدمها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هانس روبرت ياوس)) ويعد هذا المفهوم مدار نظرية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ياوس)) على اعتبار أن مصطلح الأفق لم يكن بدعًا على ياوس بل كان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 xml:space="preserve">مألوفًا للغاية في الدوائر الفلسفية الألمانية ونفطن هنا إلى أن جادامر </w:t>
      </w:r>
      <w:proofErr w:type="spellStart"/>
      <w:r>
        <w:rPr>
          <w:rFonts w:ascii="Sakkal Majalla" w:hAnsi="Sakkal Majalla" w:cs="Sakkal Majalla"/>
          <w:color w:val="000000"/>
          <w:sz w:val="32"/>
          <w:szCs w:val="32"/>
        </w:rPr>
        <w:t>gadamar</w:t>
      </w:r>
      <w:proofErr w:type="spellEnd"/>
      <w:r>
        <w:rPr>
          <w:rFonts w:ascii="Sakkal Majalla" w:hAnsi="Sakkal Majalla" w:cs="Sakkal Majalla"/>
          <w:color w:val="000000"/>
          <w:sz w:val="32"/>
          <w:szCs w:val="32"/>
          <w:rtl/>
        </w:rPr>
        <w:t xml:space="preserve"> قد استخدمه ليشير به إلى مدى الرؤية التي تشمل كل شيء يمكن رؤيته من موقع بعينه مناسب وقد قدم سلفاه هوسرل وهيدغر  هذه الفكرة كذلك في سياقات متشابهة)).</w:t>
      </w:r>
      <w:r>
        <w:rPr>
          <w:rStyle w:val="Appelnotedebasdep"/>
          <w:rFonts w:ascii="Sakkal Majalla" w:hAnsi="Sakkal Majalla" w:cs="Sakkal Majalla"/>
          <w:color w:val="000000"/>
          <w:sz w:val="32"/>
          <w:szCs w:val="32"/>
          <w:rtl/>
        </w:rPr>
        <w:footnoteReference w:id="57"/>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ولعل الطرح الذي قدمه جادامر حول المفهوم الشامل لهذا المصطلح كان عام 1960 وهو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أفق الأسئلة)) الذي يدخل ضمن ما يسمى بمنطق السؤال والواجب.</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 xml:space="preserve">وهذا المفهوم نفسه استلهمه آيرز في فكرته التي تقول: ((إننا لا نستخلص من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النص)) إلا ما به من عناصر ذات صلة بنا))</w:t>
      </w:r>
      <w:r>
        <w:rPr>
          <w:rStyle w:val="Appelnotedebasdep"/>
          <w:rFonts w:ascii="Sakkal Majalla" w:hAnsi="Sakkal Majalla" w:cs="Sakkal Majalla"/>
          <w:color w:val="000000"/>
          <w:sz w:val="32"/>
          <w:szCs w:val="32"/>
          <w:rtl/>
        </w:rPr>
        <w:footnoteReference w:id="58"/>
      </w:r>
      <w:r>
        <w:rPr>
          <w:rFonts w:ascii="Sakkal Majalla" w:hAnsi="Sakkal Majalla" w:cs="Sakkal Majalla"/>
          <w:color w:val="000000"/>
          <w:sz w:val="32"/>
          <w:szCs w:val="32"/>
          <w:rtl/>
        </w:rPr>
        <w:t>.</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والأفق يخبرنا بالأساس عن الكيفية التي تم بها تقييم العمل في لحظة تخلقه، ولكن دون أن يصطنع هذا الأفق دلالة نهائية للعمل، وذلك لأن النصوص في نظرية القراءة تتعرض لعدد القراءات يساوي عدد القراء أنفسهم.</w:t>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lastRenderedPageBreak/>
        <w:t xml:space="preserve">ولا يمكننا استيعاب المصطلح ما لم نضف إليه مفهوما تكميليًا يطلق عليه ياوس </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المسافة الجمالية)) و</w:t>
      </w:r>
      <w:r>
        <w:rPr>
          <w:rFonts w:ascii="Sakkal Majalla" w:hAnsi="Sakkal Majalla" w:cs="Sakkal Majalla"/>
          <w:color w:val="000000"/>
          <w:sz w:val="32"/>
          <w:szCs w:val="32"/>
          <w:rtl/>
          <w:lang w:bidi="ar-DZ"/>
        </w:rPr>
        <w:t>((</w:t>
      </w:r>
      <w:r>
        <w:rPr>
          <w:rFonts w:ascii="Sakkal Majalla" w:hAnsi="Sakkal Majalla" w:cs="Sakkal Majalla"/>
          <w:color w:val="000000"/>
          <w:sz w:val="32"/>
          <w:szCs w:val="32"/>
          <w:rtl/>
        </w:rPr>
        <w:t>المسافة الجمالية هي الفرق بين درجة الشكل المحدد لعمل جديد، وتلحظ هذه المسافة بشكل واضح في العلاقة بين الجمهور والنقد)).</w:t>
      </w:r>
      <w:r>
        <w:rPr>
          <w:rStyle w:val="Appelnotedebasdep"/>
          <w:rFonts w:ascii="Sakkal Majalla" w:hAnsi="Sakkal Majalla" w:cs="Sakkal Majalla"/>
          <w:color w:val="000000"/>
          <w:sz w:val="32"/>
          <w:szCs w:val="32"/>
          <w:rtl/>
        </w:rPr>
        <w:footnoteReference w:id="59"/>
      </w:r>
    </w:p>
    <w:p w:rsidR="005C5309" w:rsidRDefault="005C5309" w:rsidP="005C5309">
      <w:pPr>
        <w:bidi/>
        <w:ind w:firstLine="397"/>
        <w:jc w:val="both"/>
        <w:rPr>
          <w:rFonts w:ascii="Sakkal Majalla" w:hAnsi="Sakkal Majalla" w:cs="Sakkal Majalla"/>
          <w:color w:val="000000"/>
          <w:sz w:val="32"/>
          <w:szCs w:val="32"/>
          <w:rtl/>
        </w:rPr>
      </w:pPr>
      <w:r>
        <w:rPr>
          <w:rFonts w:ascii="Sakkal Majalla" w:hAnsi="Sakkal Majalla" w:cs="Sakkal Majalla"/>
          <w:color w:val="000000"/>
          <w:sz w:val="32"/>
          <w:szCs w:val="32"/>
          <w:rtl/>
        </w:rPr>
        <w:t>غير أن أفق التوقع يتم دومًا كما يقول ياوس</w:t>
      </w:r>
      <w:r>
        <w:rPr>
          <w:rFonts w:ascii="Sakkal Majalla" w:hAnsi="Sakkal Majalla" w:cs="Sakkal Majalla"/>
          <w:color w:val="000000"/>
          <w:sz w:val="32"/>
          <w:szCs w:val="32"/>
          <w:rtl/>
          <w:lang w:bidi="ar-DZ"/>
        </w:rPr>
        <w:t xml:space="preserve"> ((</w:t>
      </w:r>
      <w:r>
        <w:rPr>
          <w:rFonts w:ascii="Sakkal Majalla" w:hAnsi="Sakkal Majalla" w:cs="Sakkal Majalla"/>
          <w:color w:val="000000"/>
          <w:sz w:val="32"/>
          <w:szCs w:val="32"/>
          <w:rtl/>
        </w:rPr>
        <w:t>إن تحليل التجربة الأدبية للقارئ تفلت من النزعة النفسانية التي هي عرضة لها لوصف تلقي العمل والأثر الناتج عنه، إذ كانت تشكل أفق انتظار جمهورها الأول بمعنى الأنظمة المرجعية القابلة للتشكل بصورة موضوعية والتي تكون بالنسبة لكل عمل في اللحظة التاريخية التي يظهر فيه نتيجة عوامل ثلاثة أساسية هي:</w:t>
      </w:r>
    </w:p>
    <w:p w:rsidR="005C5309" w:rsidRDefault="005C5309" w:rsidP="005C5309">
      <w:pPr>
        <w:pStyle w:val="Paragraphedeliste"/>
        <w:numPr>
          <w:ilvl w:val="0"/>
          <w:numId w:val="3"/>
        </w:numPr>
        <w:bidi/>
        <w:ind w:firstLine="397"/>
        <w:rPr>
          <w:rFonts w:ascii="Sakkal Majalla" w:hAnsi="Sakkal Majalla" w:cs="Sakkal Majalla"/>
          <w:color w:val="000000"/>
          <w:sz w:val="32"/>
          <w:rtl/>
        </w:rPr>
      </w:pPr>
      <w:r>
        <w:rPr>
          <w:rFonts w:ascii="Sakkal Majalla" w:hAnsi="Sakkal Majalla" w:cs="Sakkal Majalla"/>
          <w:color w:val="000000"/>
          <w:sz w:val="32"/>
          <w:rtl/>
        </w:rPr>
        <w:t xml:space="preserve">التجربة المسبقة التي اكتسبها الجمهور من الجنس الذي ينتمي إليه </w:t>
      </w:r>
      <w:r>
        <w:rPr>
          <w:rFonts w:ascii="Sakkal Majalla" w:hAnsi="Sakkal Majalla" w:cs="Sakkal Majalla"/>
          <w:color w:val="000000"/>
          <w:sz w:val="32"/>
          <w:rtl/>
          <w:lang w:bidi="ar-DZ"/>
        </w:rPr>
        <w:t>((</w:t>
      </w:r>
      <w:r>
        <w:rPr>
          <w:rFonts w:ascii="Sakkal Majalla" w:hAnsi="Sakkal Majalla" w:cs="Sakkal Majalla"/>
          <w:color w:val="000000"/>
          <w:sz w:val="32"/>
          <w:rtl/>
        </w:rPr>
        <w:t>النص)).</w:t>
      </w:r>
    </w:p>
    <w:p w:rsidR="005C5309" w:rsidRDefault="005C5309" w:rsidP="005C5309">
      <w:pPr>
        <w:pStyle w:val="Paragraphedeliste"/>
        <w:numPr>
          <w:ilvl w:val="0"/>
          <w:numId w:val="3"/>
        </w:numPr>
        <w:bidi/>
        <w:ind w:firstLine="397"/>
        <w:rPr>
          <w:rFonts w:ascii="Sakkal Majalla" w:hAnsi="Sakkal Majalla" w:cs="Sakkal Majalla"/>
          <w:color w:val="000000"/>
          <w:sz w:val="32"/>
        </w:rPr>
      </w:pPr>
      <w:r>
        <w:rPr>
          <w:rFonts w:ascii="Sakkal Majalla" w:hAnsi="Sakkal Majalla" w:cs="Sakkal Majalla"/>
          <w:color w:val="000000"/>
          <w:sz w:val="32"/>
          <w:rtl/>
        </w:rPr>
        <w:t xml:space="preserve">شكل وموضوعية الأعمال السابقة التي يفترض معرفتها. </w:t>
      </w:r>
    </w:p>
    <w:p w:rsidR="005C5309" w:rsidRDefault="005C5309" w:rsidP="005C5309">
      <w:pPr>
        <w:pStyle w:val="Paragraphedeliste"/>
        <w:numPr>
          <w:ilvl w:val="0"/>
          <w:numId w:val="3"/>
        </w:numPr>
        <w:bidi/>
        <w:ind w:firstLine="397"/>
        <w:rPr>
          <w:rFonts w:ascii="Sakkal Majalla" w:hAnsi="Sakkal Majalla" w:cs="Sakkal Majalla"/>
          <w:color w:val="000000"/>
          <w:sz w:val="32"/>
        </w:rPr>
      </w:pPr>
      <w:r>
        <w:rPr>
          <w:rFonts w:ascii="Sakkal Majalla" w:hAnsi="Sakkal Majalla" w:cs="Sakkal Majalla"/>
          <w:color w:val="000000"/>
          <w:sz w:val="32"/>
          <w:rtl/>
        </w:rPr>
        <w:t>والتعارض بين اللغة الشعرية واللغة العلمية أي التعارض بين العالم التحليلي والواقع اليومي))</w:t>
      </w:r>
      <w:r>
        <w:rPr>
          <w:rStyle w:val="Appelnotedebasdep"/>
          <w:rFonts w:ascii="Sakkal Majalla" w:hAnsi="Sakkal Majalla" w:cs="Sakkal Majalla"/>
          <w:color w:val="000000"/>
          <w:sz w:val="32"/>
          <w:rtl/>
        </w:rPr>
        <w:footnoteReference w:id="60"/>
      </w:r>
      <w:r>
        <w:rPr>
          <w:rFonts w:ascii="Sakkal Majalla" w:hAnsi="Sakkal Majalla" w:cs="Sakkal Majalla"/>
          <w:color w:val="000000"/>
          <w:sz w:val="32"/>
          <w:rtl/>
        </w:rPr>
        <w:t>.</w:t>
      </w:r>
    </w:p>
    <w:p w:rsidR="005C5309" w:rsidRDefault="005C5309" w:rsidP="005C5309">
      <w:pPr>
        <w:bidi/>
        <w:ind w:firstLine="397"/>
        <w:rPr>
          <w:rFonts w:ascii="Sakkal Majalla" w:hAnsi="Sakkal Majalla" w:cs="Sakkal Majalla"/>
          <w:color w:val="000000"/>
          <w:sz w:val="32"/>
          <w:szCs w:val="32"/>
        </w:rPr>
      </w:pPr>
    </w:p>
    <w:p w:rsidR="005C5309" w:rsidRDefault="005C5309" w:rsidP="005C5309">
      <w:pPr>
        <w:pStyle w:val="Paragraphedeliste"/>
        <w:numPr>
          <w:ilvl w:val="0"/>
          <w:numId w:val="3"/>
        </w:numPr>
        <w:bidi/>
        <w:ind w:firstLine="397"/>
        <w:rPr>
          <w:rFonts w:ascii="Sakkal Majalla" w:hAnsi="Sakkal Majalla" w:cs="Sakkal Majalla"/>
          <w:color w:val="000000"/>
          <w:sz w:val="32"/>
        </w:rPr>
      </w:pPr>
      <w:r>
        <w:rPr>
          <w:rFonts w:ascii="Sakkal Majalla" w:hAnsi="Sakkal Majalla" w:cs="Sakkal Majalla"/>
          <w:color w:val="000000"/>
          <w:sz w:val="32"/>
          <w:rtl/>
        </w:rPr>
        <w:t xml:space="preserve">إن ياوس من خلال هذا التنظير يحاول أن يوفر للأفق طبيعة متعالية </w:t>
      </w:r>
      <w:r>
        <w:rPr>
          <w:rFonts w:ascii="Sakkal Majalla" w:hAnsi="Sakkal Majalla" w:cs="Sakkal Majalla"/>
          <w:color w:val="000000"/>
          <w:sz w:val="32"/>
        </w:rPr>
        <w:t>transcendantal</w:t>
      </w:r>
      <w:r>
        <w:rPr>
          <w:rFonts w:ascii="Sakkal Majalla" w:hAnsi="Sakkal Majalla" w:cs="Sakkal Majalla"/>
          <w:color w:val="000000"/>
          <w:sz w:val="32"/>
          <w:rtl/>
        </w:rPr>
        <w:t xml:space="preserve"> يحافظ فيها الثقافي على بعض خصائصه حينما يساق العمل الأولي إلى القراءة، فهذا الجانب يساعد العمل المقروء في (على) تشكيل الجمالي الذي شكل الجدل بين أفق التشكل وزمن القراءة (لحظة التلقي).</w:t>
      </w:r>
    </w:p>
    <w:p w:rsidR="005C5309" w:rsidRDefault="005C5309" w:rsidP="005C5309">
      <w:pPr>
        <w:bidi/>
        <w:ind w:firstLine="397"/>
        <w:jc w:val="both"/>
        <w:rPr>
          <w:rFonts w:ascii="Sakkal Majalla" w:hAnsi="Sakkal Majalla" w:cs="Sakkal Majalla"/>
          <w:color w:val="000000"/>
          <w:sz w:val="32"/>
          <w:szCs w:val="32"/>
          <w:lang w:bidi="ar-DZ"/>
        </w:rPr>
      </w:pPr>
    </w:p>
    <w:p w:rsidR="00052DEE" w:rsidRDefault="00052DEE"/>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F1" w:rsidRDefault="00755AF1" w:rsidP="005C5309">
      <w:pPr>
        <w:spacing w:after="0" w:line="240" w:lineRule="auto"/>
      </w:pPr>
      <w:r>
        <w:separator/>
      </w:r>
    </w:p>
  </w:endnote>
  <w:endnote w:type="continuationSeparator" w:id="0">
    <w:p w:rsidR="00755AF1" w:rsidRDefault="00755AF1" w:rsidP="005C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F1" w:rsidRDefault="00755AF1" w:rsidP="005C5309">
      <w:pPr>
        <w:spacing w:after="0" w:line="240" w:lineRule="auto"/>
      </w:pPr>
      <w:r>
        <w:separator/>
      </w:r>
    </w:p>
  </w:footnote>
  <w:footnote w:type="continuationSeparator" w:id="0">
    <w:p w:rsidR="00755AF1" w:rsidRDefault="00755AF1" w:rsidP="005C5309">
      <w:pPr>
        <w:spacing w:after="0" w:line="240" w:lineRule="auto"/>
      </w:pPr>
      <w:r>
        <w:continuationSeparator/>
      </w:r>
    </w:p>
  </w:footnote>
  <w:footnote w:id="1">
    <w:p w:rsidR="005C5309" w:rsidRDefault="005C5309" w:rsidP="005C5309">
      <w:pPr>
        <w:pStyle w:val="Notedebasdepage"/>
        <w:bidi/>
        <w:rPr>
          <w:rtl/>
        </w:rPr>
      </w:pPr>
      <w:r>
        <w:rPr>
          <w:rStyle w:val="Appelnotedebasdep"/>
          <w:rFonts w:ascii="Symbol" w:hAnsi="Symbol"/>
          <w:sz w:val="24"/>
          <w:szCs w:val="24"/>
        </w:rPr>
        <w:sym w:font="Symbol" w:char="F0B7"/>
      </w:r>
      <w:r>
        <w:rPr>
          <w:rFonts w:ascii="Simplified Arabic" w:hAnsi="Simplified Arabic"/>
          <w:sz w:val="24"/>
          <w:szCs w:val="24"/>
          <w:rtl/>
        </w:rPr>
        <w:t xml:space="preserve">ولد 1930بالجزائر اسمه الحقيقي، ايلي دريدا، وليس </w:t>
      </w:r>
      <w:r>
        <w:rPr>
          <w:rFonts w:ascii="Simplified Arabic" w:hAnsi="Simplified Arabic"/>
          <w:sz w:val="24"/>
          <w:szCs w:val="24"/>
          <w:rtl/>
          <w:lang w:bidi="ar-DZ"/>
        </w:rPr>
        <w:t>((</w:t>
      </w:r>
      <w:r>
        <w:rPr>
          <w:rFonts w:ascii="Simplified Arabic" w:hAnsi="Simplified Arabic"/>
          <w:sz w:val="24"/>
          <w:szCs w:val="24"/>
          <w:rtl/>
        </w:rPr>
        <w:t xml:space="preserve">جاكي)) كما أورد أحمد عبد الحليم عطية في كتابه </w:t>
      </w:r>
      <w:r>
        <w:rPr>
          <w:rFonts w:ascii="Simplified Arabic" w:hAnsi="Simplified Arabic"/>
          <w:sz w:val="24"/>
          <w:szCs w:val="24"/>
          <w:rtl/>
          <w:lang w:bidi="ar-DZ"/>
        </w:rPr>
        <w:t>((</w:t>
      </w:r>
      <w:r>
        <w:rPr>
          <w:rFonts w:ascii="Simplified Arabic" w:hAnsi="Simplified Arabic"/>
          <w:sz w:val="24"/>
          <w:szCs w:val="24"/>
          <w:rtl/>
        </w:rPr>
        <w:t xml:space="preserve">جاك دريدا والتفكيك))، ولقب جاكي الذي ذكره هو كنية </w:t>
      </w:r>
      <w:r>
        <w:rPr>
          <w:rFonts w:ascii="Simplified Arabic" w:hAnsi="Simplified Arabic"/>
          <w:sz w:val="24"/>
          <w:szCs w:val="24"/>
          <w:rtl/>
          <w:lang w:bidi="ar-DZ"/>
        </w:rPr>
        <w:t>((</w:t>
      </w:r>
      <w:r>
        <w:rPr>
          <w:rFonts w:ascii="Simplified Arabic" w:hAnsi="Simplified Arabic"/>
          <w:sz w:val="24"/>
          <w:szCs w:val="24"/>
          <w:rtl/>
        </w:rPr>
        <w:t xml:space="preserve">جاكي)) وهو عادة من عادات العائلات اليهودية في الجزائر حيث كانت تطلق على أبنائها أسماء ممثلين مشهورين وجاكي نسبة إلى جاكي ستيوارت الممثل الأمريكي، إلا أن جاك دريدا غير اسمه ليكون مناسبا ومتوافقا مع الثقافة الفرنسية التي انخرط فيها بعد رحيله عن الجزائر، درس في مسقط رأسه بالأبيار  بثانوية </w:t>
      </w:r>
      <w:r>
        <w:rPr>
          <w:rFonts w:ascii="Simplified Arabic" w:hAnsi="Simplified Arabic"/>
          <w:sz w:val="24"/>
          <w:szCs w:val="24"/>
        </w:rPr>
        <w:t>Gauthier</w:t>
      </w:r>
      <w:r>
        <w:rPr>
          <w:rFonts w:ascii="Simplified Arabic" w:hAnsi="Simplified Arabic"/>
          <w:sz w:val="24"/>
          <w:szCs w:val="24"/>
          <w:rtl/>
        </w:rPr>
        <w:t xml:space="preserve">، وفي 1950 سافر إلى فرنسا ليكمل تعليمه وله كتب كثيرة. </w:t>
      </w:r>
    </w:p>
  </w:footnote>
  <w:footnote w:id="2">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الله إبراهيم، المركزية الغربية، ص 316.</w:t>
      </w:r>
    </w:p>
  </w:footnote>
  <w:footnote w:id="3">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رينيه ديكارت، مقالة الطريقة، ترجمة جميل صليبا، ص 134.</w:t>
      </w:r>
    </w:p>
  </w:footnote>
  <w:footnote w:id="4">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136.</w:t>
      </w:r>
    </w:p>
  </w:footnote>
  <w:footnote w:id="5">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الربيع ميمون، مشكلة الدور الديكارتي، الشركة الوطنية للنشر والتوزيع، الطبعة الثانية، 1982، ص 32.</w:t>
      </w:r>
    </w:p>
  </w:footnote>
  <w:footnote w:id="6">
    <w:p w:rsidR="005C5309" w:rsidRDefault="005C5309" w:rsidP="005C5309">
      <w:pPr>
        <w:pStyle w:val="Notedebasdepage"/>
        <w:bidi/>
        <w:jc w:val="right"/>
        <w:rPr>
          <w:rFonts w:ascii="Simplified Arabic" w:hAnsi="Simplified Arabic"/>
          <w:sz w:val="24"/>
          <w:szCs w:val="24"/>
        </w:rPr>
      </w:pPr>
      <w:r>
        <w:rPr>
          <w:rStyle w:val="Appelnotedebasdep"/>
          <w:rFonts w:ascii="Symbol" w:hAnsi="Symbol"/>
          <w:sz w:val="24"/>
          <w:szCs w:val="24"/>
        </w:rPr>
        <w:sym w:font="Symbol" w:char="F0B7"/>
      </w:r>
      <w:r>
        <w:rPr>
          <w:rFonts w:ascii="Simplified Arabic" w:hAnsi="Simplified Arabic"/>
          <w:sz w:val="24"/>
          <w:szCs w:val="24"/>
        </w:rPr>
        <w:t xml:space="preserve"> La philosophie serait ce </w:t>
      </w:r>
      <w:proofErr w:type="gramStart"/>
      <w:r>
        <w:rPr>
          <w:rFonts w:ascii="Simplified Arabic" w:hAnsi="Simplified Arabic"/>
          <w:sz w:val="24"/>
          <w:szCs w:val="24"/>
        </w:rPr>
        <w:t>privilège ,Elle</w:t>
      </w:r>
      <w:proofErr w:type="gramEnd"/>
      <w:r>
        <w:rPr>
          <w:rFonts w:ascii="Simplified Arabic" w:hAnsi="Simplified Arabic"/>
          <w:sz w:val="24"/>
          <w:szCs w:val="24"/>
        </w:rPr>
        <w:t xml:space="preserve"> ne le recevrait pas, mais serait ce pouvoir de se l’accorder </w:t>
      </w:r>
      <w:proofErr w:type="spellStart"/>
      <w:r>
        <w:rPr>
          <w:rFonts w:ascii="Simplified Arabic" w:hAnsi="Simplified Arabic"/>
          <w:sz w:val="24"/>
          <w:szCs w:val="24"/>
        </w:rPr>
        <w:t>a</w:t>
      </w:r>
      <w:proofErr w:type="spellEnd"/>
      <w:r>
        <w:rPr>
          <w:rFonts w:ascii="Simplified Arabic" w:hAnsi="Simplified Arabic"/>
          <w:sz w:val="24"/>
          <w:szCs w:val="24"/>
        </w:rPr>
        <w:t xml:space="preserve"> elle- même. Le plus vieux thème de la philosophie s’y retrouve</w:t>
      </w:r>
      <w:r>
        <w:rPr>
          <w:rFonts w:ascii="Simplified Arabic" w:hAnsi="Simplified Arabic"/>
          <w:sz w:val="24"/>
          <w:szCs w:val="24"/>
          <w:rtl/>
        </w:rPr>
        <w:t xml:space="preserve">، </w:t>
      </w:r>
      <w:r>
        <w:rPr>
          <w:rFonts w:ascii="Simplified Arabic" w:hAnsi="Simplified Arabic"/>
          <w:sz w:val="24"/>
          <w:szCs w:val="24"/>
        </w:rPr>
        <w:t>la question </w:t>
      </w:r>
      <w:proofErr w:type="gramStart"/>
      <w:r>
        <w:rPr>
          <w:rFonts w:ascii="Simplified Arabic" w:hAnsi="Simplified Arabic"/>
          <w:sz w:val="24"/>
          <w:szCs w:val="24"/>
        </w:rPr>
        <w:t>;qu’est</w:t>
      </w:r>
      <w:proofErr w:type="gramEnd"/>
      <w:r>
        <w:rPr>
          <w:rFonts w:ascii="Simplified Arabic" w:hAnsi="Simplified Arabic"/>
          <w:sz w:val="24"/>
          <w:szCs w:val="24"/>
        </w:rPr>
        <w:t xml:space="preserve"> que la physique ,la sociologie, l’anthropologie ,la littérature ou la musique , serait de nature philosophique</w:t>
      </w:r>
    </w:p>
    <w:p w:rsidR="005C5309" w:rsidRDefault="005C5309" w:rsidP="005C5309">
      <w:pPr>
        <w:pStyle w:val="Notedebasdepage"/>
        <w:bidi/>
        <w:jc w:val="right"/>
      </w:pPr>
      <w:r>
        <w:rPr>
          <w:rFonts w:ascii="Simplified Arabic" w:hAnsi="Simplified Arabic"/>
          <w:sz w:val="24"/>
          <w:szCs w:val="24"/>
        </w:rPr>
        <w:t xml:space="preserve">Jacques </w:t>
      </w:r>
      <w:proofErr w:type="spellStart"/>
      <w:r>
        <w:rPr>
          <w:rFonts w:ascii="Simplified Arabic" w:hAnsi="Simplified Arabic"/>
          <w:sz w:val="24"/>
          <w:szCs w:val="24"/>
        </w:rPr>
        <w:t>Derrida</w:t>
      </w:r>
      <w:proofErr w:type="gramStart"/>
      <w:r>
        <w:rPr>
          <w:rFonts w:ascii="Simplified Arabic" w:hAnsi="Simplified Arabic"/>
          <w:sz w:val="24"/>
          <w:szCs w:val="24"/>
        </w:rPr>
        <w:t>,Du</w:t>
      </w:r>
      <w:proofErr w:type="spellEnd"/>
      <w:proofErr w:type="gramEnd"/>
      <w:r>
        <w:rPr>
          <w:rFonts w:ascii="Simplified Arabic" w:hAnsi="Simplified Arabic"/>
          <w:sz w:val="24"/>
          <w:szCs w:val="24"/>
        </w:rPr>
        <w:t xml:space="preserve"> droit de la philosophie , édition Galilée ,Paris 1990 , P19</w:t>
      </w:r>
      <w:r>
        <w:rPr>
          <w:rFonts w:ascii="Simplified Arabic" w:hAnsi="Simplified Arabic"/>
          <w:sz w:val="24"/>
          <w:szCs w:val="24"/>
          <w:rtl/>
        </w:rPr>
        <w:t>.</w:t>
      </w:r>
    </w:p>
  </w:footnote>
  <w:footnote w:id="7">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مطاع الصفدي، نقد العقل الغربي، الحداثة ما بعد الحداثة، مركز الإنماء القومي، د.ط، 1990، ص 34.</w:t>
      </w:r>
    </w:p>
  </w:footnote>
  <w:footnote w:id="8">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w:t>
      </w:r>
      <w:r>
        <w:rPr>
          <w:rFonts w:ascii="Simplified Arabic" w:hAnsi="Simplified Arabic"/>
          <w:sz w:val="24"/>
          <w:szCs w:val="24"/>
          <w:rtl/>
          <w:lang w:bidi="ar-DZ"/>
        </w:rPr>
        <w:t xml:space="preserve"> كرسيتوفر نوريس، التفكيكية النظرية والممارسة، ترجمة خيري محمد حسن، دط، دت، ص129- 130.</w:t>
      </w:r>
    </w:p>
  </w:footnote>
  <w:footnote w:id="9">
    <w:p w:rsidR="005C5309" w:rsidRDefault="005C5309" w:rsidP="005C5309">
      <w:pPr>
        <w:pStyle w:val="Notedebasdepage"/>
        <w:bidi/>
        <w:jc w:val="right"/>
      </w:pPr>
      <w:r>
        <w:rPr>
          <w:rFonts w:ascii="Simplified Arabic" w:hAnsi="Simplified Arabic"/>
          <w:sz w:val="24"/>
          <w:szCs w:val="24"/>
          <w:rtl/>
        </w:rPr>
        <w:t>ــ</w:t>
      </w:r>
      <w:r>
        <w:rPr>
          <w:rFonts w:ascii="Simplified Arabic" w:hAnsi="Simplified Arabic"/>
          <w:sz w:val="24"/>
          <w:szCs w:val="24"/>
        </w:rPr>
        <w:t>1967, P 17 </w:t>
      </w:r>
      <w:r>
        <w:rPr>
          <w:rFonts w:ascii="Simplified Arabic" w:hAnsi="Simplified Arabic"/>
          <w:sz w:val="24"/>
          <w:szCs w:val="24"/>
          <w:rtl/>
        </w:rPr>
        <w:t>,</w:t>
      </w: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rPr>
        <w:t>) Jacques Derrida ,De la Grammatologies, Edition Minuit ,paris</w:t>
      </w:r>
    </w:p>
  </w:footnote>
  <w:footnote w:id="10">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كريسوتفر نوريس، المرجع السابق. ص129، 130.</w:t>
      </w:r>
    </w:p>
  </w:footnote>
  <w:footnote w:id="11">
    <w:p w:rsidR="005C5309" w:rsidRDefault="005C5309" w:rsidP="005C5309">
      <w:pPr>
        <w:pStyle w:val="Notedebasdepage"/>
        <w:bidi/>
        <w:rPr>
          <w:rFonts w:ascii="Simplified Arabic" w:hAnsi="Simplified Arabic"/>
          <w:sz w:val="24"/>
          <w:szCs w:val="24"/>
        </w:rPr>
      </w:pPr>
      <w:r>
        <w:rPr>
          <w:rStyle w:val="Appelnotedebasdep"/>
          <w:rFonts w:ascii="Symbol" w:hAnsi="Symbol"/>
          <w:sz w:val="24"/>
          <w:szCs w:val="24"/>
        </w:rPr>
        <w:sym w:font="Symbol" w:char="F0B7"/>
      </w:r>
      <w:r>
        <w:rPr>
          <w:rFonts w:ascii="Simplified Arabic" w:hAnsi="Simplified Arabic"/>
          <w:sz w:val="24"/>
          <w:szCs w:val="24"/>
          <w:rtl/>
        </w:rPr>
        <w:t xml:space="preserve"> حيث بين جملة من المسائل المهمة حول قضية )) الكينونة والزمن )) من خلال تعليقه على كتاب هيدغر </w:t>
      </w:r>
      <w:r>
        <w:rPr>
          <w:rFonts w:ascii="Simplified Arabic" w:hAnsi="Simplified Arabic"/>
          <w:sz w:val="24"/>
          <w:szCs w:val="24"/>
        </w:rPr>
        <w:t xml:space="preserve">sein </w:t>
      </w:r>
      <w:proofErr w:type="spellStart"/>
      <w:r>
        <w:rPr>
          <w:rFonts w:ascii="Simplified Arabic" w:hAnsi="Simplified Arabic"/>
          <w:sz w:val="24"/>
          <w:szCs w:val="24"/>
        </w:rPr>
        <w:t>und</w:t>
      </w:r>
      <w:proofErr w:type="spellEnd"/>
      <w:r>
        <w:rPr>
          <w:rFonts w:ascii="Simplified Arabic" w:hAnsi="Simplified Arabic"/>
          <w:sz w:val="24"/>
          <w:szCs w:val="24"/>
        </w:rPr>
        <w:t xml:space="preserve"> </w:t>
      </w:r>
      <w:proofErr w:type="spellStart"/>
      <w:r>
        <w:rPr>
          <w:rFonts w:ascii="Simplified Arabic" w:hAnsi="Simplified Arabic"/>
          <w:sz w:val="24"/>
          <w:szCs w:val="24"/>
        </w:rPr>
        <w:t>zeit</w:t>
      </w:r>
      <w:proofErr w:type="spellEnd"/>
      <w:r>
        <w:rPr>
          <w:rFonts w:ascii="Simplified Arabic" w:hAnsi="Simplified Arabic"/>
          <w:sz w:val="24"/>
          <w:szCs w:val="24"/>
          <w:rtl/>
        </w:rPr>
        <w:t xml:space="preserve">، ينظر كتابه </w:t>
      </w:r>
    </w:p>
    <w:p w:rsidR="005C5309" w:rsidRDefault="005C5309" w:rsidP="005C5309">
      <w:pPr>
        <w:pStyle w:val="Notedebasdepage"/>
        <w:bidi/>
        <w:jc w:val="right"/>
        <w:rPr>
          <w:rtl/>
        </w:rPr>
      </w:pPr>
      <w:r>
        <w:rPr>
          <w:rFonts w:ascii="Simplified Arabic" w:hAnsi="Simplified Arabic"/>
          <w:sz w:val="24"/>
          <w:szCs w:val="24"/>
        </w:rPr>
        <w:t>Jacques Derrida ; </w:t>
      </w:r>
      <w:r>
        <w:rPr>
          <w:rFonts w:ascii="Simplified Arabic" w:hAnsi="Simplified Arabic"/>
          <w:sz w:val="24"/>
          <w:szCs w:val="24"/>
          <w:lang w:bidi="ar-DZ"/>
        </w:rPr>
        <w:t xml:space="preserve">Marges de la philosophie ; édition </w:t>
      </w:r>
      <w:proofErr w:type="spellStart"/>
      <w:r>
        <w:rPr>
          <w:rFonts w:ascii="Simplified Arabic" w:hAnsi="Simplified Arabic"/>
          <w:sz w:val="24"/>
          <w:szCs w:val="24"/>
          <w:lang w:bidi="ar-DZ"/>
        </w:rPr>
        <w:t>minuit.Paris</w:t>
      </w:r>
      <w:proofErr w:type="spellEnd"/>
      <w:r>
        <w:rPr>
          <w:rFonts w:ascii="Simplified Arabic" w:hAnsi="Simplified Arabic"/>
          <w:sz w:val="24"/>
          <w:szCs w:val="24"/>
          <w:lang w:bidi="ar-DZ"/>
        </w:rPr>
        <w:t xml:space="preserve"> 1972.</w:t>
      </w:r>
      <w:r>
        <w:rPr>
          <w:rFonts w:ascii="Simplified Arabic" w:hAnsi="Simplified Arabic"/>
          <w:sz w:val="24"/>
          <w:szCs w:val="24"/>
        </w:rPr>
        <w:t>P38</w:t>
      </w:r>
    </w:p>
  </w:footnote>
  <w:footnote w:id="12">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الوهاب المسيري، فتحي التريكي، الحداثة وما بعد الحداثة، دار الفكر، دمشق، دط، دت، ص 82.</w:t>
      </w:r>
    </w:p>
  </w:footnote>
  <w:footnote w:id="13">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جاك دريدا، الكتابة والاختلاف، جهاد كاظم، دار توبقال للنشر، الطبعة الأولى، 1988، ص 27.</w:t>
      </w:r>
    </w:p>
  </w:footnote>
  <w:footnote w:id="14">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الوهاب المسيري، فتحي التريكي، المرجع السابق، ص 80.</w:t>
      </w:r>
    </w:p>
  </w:footnote>
  <w:footnote w:id="15">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 90.</w:t>
      </w:r>
    </w:p>
  </w:footnote>
  <w:footnote w:id="16">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90.</w:t>
      </w:r>
    </w:p>
  </w:footnote>
  <w:footnote w:id="17">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الله ابراهيم، المركزية الغربية، ص 325.</w:t>
      </w:r>
    </w:p>
  </w:footnote>
  <w:footnote w:id="18">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إبراهيم رماني، الغموض في الشعر العربي الحديث، ديوان المطبوعات الجامعية، الجزائر، الطبعة 1، ص127.</w:t>
      </w:r>
    </w:p>
  </w:footnote>
  <w:footnote w:id="19">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فاضل ثامر، اللغة الثانية، إشكالية المنهج والنظرية والمصطلح في الخطاب النقدي العربي الحديث، المركز الثقافي العربي، الدار البيضاء، بيروت الطبعة 1، 1994، ص44.</w:t>
      </w:r>
    </w:p>
  </w:footnote>
  <w:footnote w:id="20">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تزفنتان تودوروف، الشعرية، ترجمة، شكري المبخوت ورجاء سلامة، دار توبقال للنشر، الدار البيضاء، الطبعة 2، 1990، ص22.</w:t>
      </w:r>
    </w:p>
  </w:footnote>
  <w:footnote w:id="21">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فاضل ثامر، اللغة الثانية، ص20.</w:t>
      </w:r>
    </w:p>
  </w:footnote>
  <w:footnote w:id="22">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ص209.</w:t>
      </w:r>
    </w:p>
  </w:footnote>
  <w:footnote w:id="23">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ص50.</w:t>
      </w:r>
    </w:p>
  </w:footnote>
  <w:footnote w:id="24">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ص50.</w:t>
      </w:r>
    </w:p>
  </w:footnote>
  <w:footnote w:id="25">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روبرت شولز، سيمياء النص الشعري، مجلة العربي والفكر العالمي، ص69.</w:t>
      </w:r>
    </w:p>
  </w:footnote>
  <w:footnote w:id="26">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الرزاق الداوي، موت الإنسان في الخطاب الفلسفي المعاصر (هيدغر، ليفي شتروس، ميشيل فوكو) دار الطليعة بيروت، 2000، ص 132.</w:t>
      </w:r>
    </w:p>
  </w:footnote>
  <w:footnote w:id="27">
    <w:p w:rsidR="005C5309" w:rsidRDefault="005C5309" w:rsidP="005C5309">
      <w:pPr>
        <w:pStyle w:val="Notedebasdepage"/>
        <w:bidi/>
        <w:rPr>
          <w:rFonts w:ascii="Simplified Arabic" w:hAnsi="Simplified Arabic"/>
          <w:sz w:val="24"/>
          <w:szCs w:val="24"/>
        </w:rPr>
      </w:pPr>
      <w:r>
        <w:rPr>
          <w:rStyle w:val="Appelnotedebasdep"/>
          <w:rFonts w:ascii="Symbol" w:hAnsi="Symbol"/>
          <w:sz w:val="24"/>
          <w:szCs w:val="24"/>
        </w:rPr>
        <w:sym w:font="Symbol" w:char="F0B7"/>
      </w:r>
      <w:r>
        <w:rPr>
          <w:rFonts w:ascii="Simplified Arabic" w:hAnsi="Simplified Arabic"/>
          <w:sz w:val="24"/>
          <w:szCs w:val="24"/>
          <w:rtl/>
        </w:rPr>
        <w:t>- يعارض عبد الفتاح كيليطو هذه الفكرة، حيث لا تخرج فكرته عن أصول ما نجده في النقد التقليدي من ضرورة إثبات الوصل في نسبة النص لمؤلفه ومن أهم الأسباب التي وقع فيها النقد المعاصر في رفض انتماء النص إلى مؤلفه هو قياسه للنص المكتوب على النص= =المروي شفاهة، وهنا تأتي ضرورة نسبة النص لمؤلفه في حالة الكتابة أما النص المروي ففي الغالب لا سند له ويعبر عن تلك العلاقة بأرستقراطية المكتوب وديموقراطية الشفوي.</w:t>
      </w:r>
    </w:p>
    <w:p w:rsidR="005C5309" w:rsidRDefault="005C5309" w:rsidP="005C5309">
      <w:pPr>
        <w:pStyle w:val="Notedebasdepage"/>
        <w:bidi/>
        <w:rPr>
          <w:rtl/>
        </w:rPr>
      </w:pPr>
      <w:r>
        <w:rPr>
          <w:rFonts w:ascii="Simplified Arabic" w:hAnsi="Simplified Arabic"/>
          <w:sz w:val="24"/>
          <w:szCs w:val="24"/>
          <w:rtl/>
        </w:rPr>
        <w:t>عبد الفتاح كيليطو، الأدب والغرابة؛دراسات بنيوية في الأدب العربي، دار توبقال للنشر، الدار البيضاء المغرب، ط4، 2000، ص ص97- 98.</w:t>
      </w:r>
    </w:p>
  </w:footnote>
  <w:footnote w:id="28">
    <w:p w:rsidR="005C5309" w:rsidRDefault="005C5309" w:rsidP="005C5309">
      <w:pPr>
        <w:pStyle w:val="Notedebasdepage"/>
      </w:pP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rtl/>
        </w:rPr>
        <w:t xml:space="preserve">( </w:t>
      </w:r>
      <w:r>
        <w:rPr>
          <w:rFonts w:ascii="Simplified Arabic" w:hAnsi="Simplified Arabic"/>
          <w:sz w:val="24"/>
          <w:szCs w:val="24"/>
        </w:rPr>
        <w:t xml:space="preserve">W. </w:t>
      </w:r>
      <w:proofErr w:type="spellStart"/>
      <w:r>
        <w:rPr>
          <w:rFonts w:ascii="Simplified Arabic" w:hAnsi="Simplified Arabic"/>
          <w:sz w:val="24"/>
          <w:szCs w:val="24"/>
        </w:rPr>
        <w:t>Iser</w:t>
      </w:r>
      <w:proofErr w:type="spellEnd"/>
      <w:r>
        <w:rPr>
          <w:rFonts w:ascii="Simplified Arabic" w:hAnsi="Simplified Arabic"/>
          <w:sz w:val="24"/>
          <w:szCs w:val="24"/>
        </w:rPr>
        <w:t xml:space="preserve"> ,L’acte De Lecture (théorie de l’effet esthétique)Traduit De L’allemand par Evelyne </w:t>
      </w:r>
      <w:proofErr w:type="spellStart"/>
      <w:r>
        <w:rPr>
          <w:rFonts w:ascii="Simplified Arabic" w:hAnsi="Simplified Arabic"/>
          <w:sz w:val="24"/>
          <w:szCs w:val="24"/>
        </w:rPr>
        <w:t>Scncer</w:t>
      </w:r>
      <w:proofErr w:type="spellEnd"/>
      <w:r>
        <w:rPr>
          <w:rFonts w:ascii="Simplified Arabic" w:hAnsi="Simplified Arabic"/>
          <w:sz w:val="24"/>
          <w:szCs w:val="24"/>
        </w:rPr>
        <w:t xml:space="preserve"> ,Pierre </w:t>
      </w:r>
      <w:proofErr w:type="spellStart"/>
      <w:r>
        <w:rPr>
          <w:rFonts w:ascii="Simplified Arabic" w:hAnsi="Simplified Arabic"/>
          <w:sz w:val="24"/>
          <w:szCs w:val="24"/>
        </w:rPr>
        <w:t>Maragada,édition</w:t>
      </w:r>
      <w:proofErr w:type="spellEnd"/>
      <w:r>
        <w:rPr>
          <w:rFonts w:ascii="Simplified Arabic" w:hAnsi="Simplified Arabic"/>
          <w:sz w:val="24"/>
          <w:szCs w:val="24"/>
        </w:rPr>
        <w:t xml:space="preserve"> Bruxelles , 1985,P 128</w:t>
      </w:r>
    </w:p>
  </w:footnote>
  <w:footnote w:id="29">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الكريم شرفي، .المرجع السابق، ص 15.</w:t>
      </w:r>
    </w:p>
  </w:footnote>
  <w:footnote w:id="30">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السابق، ص 155.</w:t>
      </w:r>
    </w:p>
  </w:footnote>
  <w:footnote w:id="31">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فولف غانغ آيزر، فعل القراءة في الاستجابة الجمالية، ترجمة؛ عبد الوهاب علوب، المجلس الأعلى للثقافة القاهرة، 2000، ص 87.</w:t>
      </w:r>
    </w:p>
  </w:footnote>
  <w:footnote w:id="32">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عبد الكريم شرفي، المرجع السابق. ص 155.</w:t>
      </w:r>
    </w:p>
  </w:footnote>
  <w:footnote w:id="33">
    <w:p w:rsidR="005C5309" w:rsidRDefault="005C5309" w:rsidP="005C5309">
      <w:pPr>
        <w:pStyle w:val="Notedebasdepage"/>
        <w:bidi/>
        <w:jc w:val="right"/>
      </w:pPr>
      <w:r>
        <w:rPr>
          <w:rFonts w:ascii="Simplified Arabic" w:hAnsi="Simplified Arabic"/>
          <w:sz w:val="24"/>
          <w:szCs w:val="24"/>
          <w:rtl/>
        </w:rPr>
        <w:t>ـ</w:t>
      </w:r>
      <w:proofErr w:type="spellStart"/>
      <w:r>
        <w:rPr>
          <w:rFonts w:ascii="Simplified Arabic" w:hAnsi="Simplified Arabic"/>
          <w:sz w:val="24"/>
          <w:szCs w:val="24"/>
        </w:rPr>
        <w:t>Iser</w:t>
      </w:r>
      <w:proofErr w:type="spellEnd"/>
      <w:r>
        <w:rPr>
          <w:rFonts w:ascii="Simplified Arabic" w:hAnsi="Simplified Arabic"/>
          <w:sz w:val="24"/>
          <w:szCs w:val="24"/>
        </w:rPr>
        <w:t xml:space="preserve"> , </w:t>
      </w:r>
      <w:proofErr w:type="spellStart"/>
      <w:r>
        <w:rPr>
          <w:rFonts w:ascii="Simplified Arabic" w:hAnsi="Simplified Arabic"/>
          <w:sz w:val="24"/>
          <w:szCs w:val="24"/>
        </w:rPr>
        <w:t>ibid</w:t>
      </w:r>
      <w:proofErr w:type="spellEnd"/>
      <w:r>
        <w:rPr>
          <w:rFonts w:ascii="Simplified Arabic" w:hAnsi="Simplified Arabic"/>
          <w:sz w:val="24"/>
          <w:szCs w:val="24"/>
        </w:rPr>
        <w:t xml:space="preserve"> , P137</w:t>
      </w:r>
      <w:r>
        <w:rPr>
          <w:rFonts w:ascii="Simplified Arabic" w:hAnsi="Simplified Arabic"/>
          <w:sz w:val="24"/>
          <w:szCs w:val="24"/>
          <w:rtl/>
        </w:rPr>
        <w:t>ـ (</w:t>
      </w:r>
      <w:r>
        <w:rPr>
          <w:rStyle w:val="Appelnotedebasdep"/>
          <w:rFonts w:ascii="Simplified Arabic" w:hAnsi="Simplified Arabic"/>
          <w:sz w:val="24"/>
          <w:szCs w:val="24"/>
        </w:rPr>
        <w:footnoteRef/>
      </w:r>
      <w:r>
        <w:rPr>
          <w:rFonts w:ascii="Simplified Arabic" w:hAnsi="Simplified Arabic"/>
          <w:sz w:val="24"/>
          <w:szCs w:val="24"/>
          <w:rtl/>
        </w:rPr>
        <w:t>)</w:t>
      </w:r>
    </w:p>
  </w:footnote>
  <w:footnote w:id="34">
    <w:p w:rsidR="005C5309" w:rsidRDefault="005C5309" w:rsidP="005C5309">
      <w:pPr>
        <w:pStyle w:val="Notedebasdepage"/>
        <w:jc w:val="left"/>
        <w:rPr>
          <w:rFonts w:ascii="Simplified Arabic" w:hAnsi="Simplified Arabic"/>
          <w:sz w:val="24"/>
          <w:szCs w:val="24"/>
        </w:rPr>
      </w:pP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rtl/>
        </w:rPr>
        <w:t xml:space="preserve">( </w:t>
      </w:r>
      <w:r>
        <w:rPr>
          <w:rFonts w:ascii="Simplified Arabic" w:hAnsi="Simplified Arabic"/>
          <w:sz w:val="24"/>
          <w:szCs w:val="24"/>
        </w:rPr>
        <w:t>Lucien</w:t>
      </w:r>
      <w:r>
        <w:rPr>
          <w:rFonts w:ascii="Simplified Arabic" w:hAnsi="Simplified Arabic"/>
          <w:sz w:val="24"/>
          <w:szCs w:val="24"/>
          <w:rtl/>
        </w:rPr>
        <w:t xml:space="preserve"> </w:t>
      </w:r>
      <w:r>
        <w:rPr>
          <w:rFonts w:ascii="Simplified Arabic" w:hAnsi="Simplified Arabic"/>
          <w:sz w:val="24"/>
          <w:szCs w:val="24"/>
        </w:rPr>
        <w:t>Goldman , le dieu caché , édition Gallimard 1959</w:t>
      </w:r>
    </w:p>
    <w:p w:rsidR="005C5309" w:rsidRDefault="005C5309" w:rsidP="005C5309">
      <w:pPr>
        <w:pStyle w:val="Notedebasdepage"/>
        <w:bidi/>
        <w:jc w:val="left"/>
        <w:rPr>
          <w:rtl/>
        </w:rPr>
      </w:pPr>
      <w:r>
        <w:rPr>
          <w:rFonts w:ascii="Simplified Arabic" w:hAnsi="Simplified Arabic"/>
          <w:sz w:val="24"/>
          <w:szCs w:val="24"/>
          <w:rtl/>
        </w:rPr>
        <w:t xml:space="preserve"> ولقد بسط رؤيته في الكتاب حيث تطرق للنظرة التراجيدية من مكون ثلاثي هو، الإله، العالم، الإنسان، ثم أفرد فصلا تحدث فيه عن رؤية العالم والمنزلة أو التموقع الاجتماعي.</w:t>
      </w:r>
    </w:p>
  </w:footnote>
  <w:footnote w:id="35">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تيري ايغلتون، الماركسية والنقد الأدبي، ترجمة، جابر عصفور، دار قرطبة للطباعة والنشر، الدار البيضاء، ط 2، 1986. ص 39.</w:t>
      </w:r>
    </w:p>
  </w:footnote>
  <w:footnote w:id="36">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الأزهر زناد، نسيج النص؛ بحث في ما يكون الملفوظ به نصا، المركز الثقافي العربي، الدار البيضاء، بيروت، ط1.1993. ص ص 11، 12.</w:t>
      </w:r>
    </w:p>
  </w:footnote>
  <w:footnote w:id="37">
    <w:p w:rsidR="005C5309" w:rsidRDefault="005C5309" w:rsidP="005C5309">
      <w:pPr>
        <w:pStyle w:val="Notedebasdepage"/>
        <w:jc w:val="right"/>
      </w:pPr>
      <w:r>
        <w:rPr>
          <w:rFonts w:ascii="Simplified Arabic" w:hAnsi="Simplified Arabic"/>
          <w:sz w:val="24"/>
          <w:szCs w:val="24"/>
        </w:rPr>
        <w:t xml:space="preserve"> </w:t>
      </w:r>
      <w:r>
        <w:rPr>
          <w:rFonts w:ascii="Simplified Arabic" w:hAnsi="Simplified Arabic"/>
          <w:sz w:val="24"/>
          <w:szCs w:val="24"/>
          <w:rtl/>
        </w:rPr>
        <w:t xml:space="preserve"> </w:t>
      </w:r>
      <w:r>
        <w:rPr>
          <w:rFonts w:ascii="Simplified Arabic" w:hAnsi="Simplified Arabic" w:hint="cs"/>
          <w:sz w:val="24"/>
          <w:szCs w:val="24"/>
          <w:rtl/>
        </w:rPr>
        <w:t>حسين خمري، نظرية النص، ص 44.</w:t>
      </w: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lang w:val="en-US"/>
        </w:rPr>
        <w:t>)</w:t>
      </w:r>
    </w:p>
  </w:footnote>
  <w:footnote w:id="38">
    <w:p w:rsidR="005C5309" w:rsidRDefault="005C5309" w:rsidP="005C5309">
      <w:pPr>
        <w:pStyle w:val="Notedebasdepage"/>
        <w:jc w:val="right"/>
      </w:pPr>
      <w:r>
        <w:rPr>
          <w:rFonts w:ascii="Simplified Arabic" w:hAnsi="Simplified Arabic"/>
          <w:sz w:val="24"/>
          <w:szCs w:val="24"/>
        </w:rPr>
        <w:t xml:space="preserve"> </w:t>
      </w:r>
      <w:r>
        <w:rPr>
          <w:rFonts w:ascii="Simplified Arabic" w:hAnsi="Simplified Arabic"/>
          <w:sz w:val="24"/>
          <w:szCs w:val="24"/>
          <w:rtl/>
        </w:rPr>
        <w:t xml:space="preserve"> </w:t>
      </w:r>
      <w:r>
        <w:rPr>
          <w:rFonts w:ascii="Simplified Arabic" w:hAnsi="Simplified Arabic" w:hint="cs"/>
          <w:sz w:val="24"/>
          <w:szCs w:val="24"/>
          <w:rtl/>
        </w:rPr>
        <w:t>المرجع نفسه ص 46.</w:t>
      </w: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rPr>
        <w:t>)</w:t>
      </w:r>
    </w:p>
  </w:footnote>
  <w:footnote w:id="39">
    <w:p w:rsidR="005C5309" w:rsidRDefault="005C5309" w:rsidP="005C5309">
      <w:pPr>
        <w:pStyle w:val="Notedebasdepage"/>
        <w:jc w:val="right"/>
      </w:pPr>
      <w:r>
        <w:rPr>
          <w:rFonts w:ascii="Simplified Arabic" w:hAnsi="Simplified Arabic"/>
          <w:sz w:val="24"/>
          <w:szCs w:val="24"/>
        </w:rPr>
        <w:t xml:space="preserve"> </w:t>
      </w:r>
      <w:r>
        <w:rPr>
          <w:rFonts w:ascii="Simplified Arabic" w:hAnsi="Simplified Arabic"/>
          <w:sz w:val="24"/>
          <w:szCs w:val="24"/>
          <w:rtl/>
        </w:rPr>
        <w:t xml:space="preserve"> </w:t>
      </w:r>
      <w:r>
        <w:rPr>
          <w:rFonts w:ascii="Simplified Arabic" w:hAnsi="Simplified Arabic" w:hint="cs"/>
          <w:sz w:val="24"/>
          <w:szCs w:val="24"/>
          <w:rtl/>
        </w:rPr>
        <w:t>محمد فتحي الدريني، المناهج الأصولية، مؤسسة الرسالة، بيروت.ط3. 1997. ص 142.</w:t>
      </w: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lang w:val="en-US"/>
        </w:rPr>
        <w:t>)</w:t>
      </w:r>
    </w:p>
  </w:footnote>
  <w:footnote w:id="40">
    <w:p w:rsidR="005C5309" w:rsidRDefault="005C5309" w:rsidP="005C5309">
      <w:pPr>
        <w:pStyle w:val="Notedebasdepage"/>
        <w:jc w:val="right"/>
      </w:pPr>
      <w:r>
        <w:rPr>
          <w:rFonts w:ascii="Simplified Arabic" w:hAnsi="Simplified Arabic"/>
          <w:sz w:val="24"/>
          <w:szCs w:val="24"/>
        </w:rPr>
        <w:t xml:space="preserve"> </w:t>
      </w:r>
      <w:r>
        <w:rPr>
          <w:rFonts w:ascii="Simplified Arabic" w:hAnsi="Simplified Arabic"/>
          <w:sz w:val="24"/>
          <w:szCs w:val="24"/>
          <w:rtl/>
          <w:lang w:bidi="ar-EG"/>
        </w:rPr>
        <w:t xml:space="preserve"> </w:t>
      </w:r>
      <w:r>
        <w:rPr>
          <w:rFonts w:ascii="Simplified Arabic" w:hAnsi="Simplified Arabic"/>
          <w:sz w:val="24"/>
          <w:szCs w:val="24"/>
          <w:rtl/>
        </w:rPr>
        <w:t>المرجع نفسه، ص 67.</w:t>
      </w:r>
      <w:r>
        <w:rPr>
          <w:rFonts w:ascii="Simplified Arabic" w:hAnsi="Simplified Arabic"/>
          <w:sz w:val="24"/>
          <w:szCs w:val="24"/>
          <w:lang w:val="en-US"/>
        </w:rPr>
        <w:t>(</w:t>
      </w:r>
      <w:r>
        <w:rPr>
          <w:rStyle w:val="Appelnotedebasdep"/>
          <w:rFonts w:ascii="Simplified Arabic" w:hAnsi="Simplified Arabic"/>
          <w:sz w:val="24"/>
          <w:szCs w:val="24"/>
        </w:rPr>
        <w:footnoteRef/>
      </w:r>
      <w:r>
        <w:rPr>
          <w:rFonts w:ascii="Simplified Arabic" w:hAnsi="Simplified Arabic"/>
          <w:sz w:val="24"/>
          <w:szCs w:val="24"/>
        </w:rPr>
        <w:t>)</w:t>
      </w:r>
    </w:p>
  </w:footnote>
  <w:footnote w:id="41">
    <w:p w:rsidR="005C5309" w:rsidRDefault="005C5309" w:rsidP="005C5309">
      <w:pPr>
        <w:pStyle w:val="Notedebasdepage"/>
        <w:jc w:val="right"/>
      </w:pPr>
      <w:r>
        <w:rPr>
          <w:rFonts w:ascii="Simplified Arabic" w:hAnsi="Simplified Arabic"/>
          <w:sz w:val="24"/>
          <w:szCs w:val="24"/>
          <w:rtl/>
        </w:rPr>
        <w:t xml:space="preserve">المرجع نفسه، ص67. </w:t>
      </w:r>
      <w:r>
        <w:rPr>
          <w:rFonts w:ascii="Simplified Arabic" w:hAnsi="Simplified Arabic"/>
          <w:sz w:val="24"/>
          <w:szCs w:val="24"/>
        </w:rPr>
        <w:t>(</w:t>
      </w:r>
      <w:r>
        <w:rPr>
          <w:rStyle w:val="Appelnotedebasdep"/>
          <w:rFonts w:ascii="Simplified Arabic" w:hAnsi="Simplified Arabic"/>
          <w:sz w:val="24"/>
          <w:szCs w:val="24"/>
        </w:rPr>
        <w:footnoteRef/>
      </w:r>
      <w:r>
        <w:rPr>
          <w:rFonts w:ascii="Simplified Arabic" w:hAnsi="Simplified Arabic"/>
          <w:sz w:val="24"/>
          <w:szCs w:val="24"/>
        </w:rPr>
        <w:t>)</w:t>
      </w:r>
    </w:p>
  </w:footnote>
  <w:footnote w:id="42">
    <w:p w:rsidR="005C5309" w:rsidRDefault="005C5309" w:rsidP="005C5309">
      <w:pPr>
        <w:pStyle w:val="Notedebasdepage"/>
        <w:jc w:val="right"/>
      </w:pPr>
      <w:r>
        <w:rPr>
          <w:rFonts w:ascii="Simplified Arabic" w:hAnsi="Simplified Arabic"/>
          <w:sz w:val="24"/>
          <w:szCs w:val="24"/>
          <w:rtl/>
        </w:rPr>
        <w:t>(355) نصر حامد أبو زيد، مفهوم النص؛ دراسة في علوم القرآن، المركز الثقافي العربي.الدار البيضاء، بيروت. ط2، 1994، ص 24.</w:t>
      </w:r>
    </w:p>
  </w:footnote>
  <w:footnote w:id="43">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فرانك شويرجن، نظريات التلقي، ترجمة، عبد الرحمن بوعلي، دار النشر الجسور، الدار البيضاء، ط1، 1995. ص 76.</w:t>
      </w:r>
    </w:p>
  </w:footnote>
  <w:footnote w:id="44">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حافيظ إسماعيل علوي، مدخل إلى نظرية القراءة، مجلة علامات في النقد، الجزء 34، 1999، ص 94.</w:t>
      </w:r>
    </w:p>
  </w:footnote>
  <w:footnote w:id="45">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آيزر، فعل القراءة؛ نظرية في الاستجابة الجمالية. ص 169.</w:t>
      </w:r>
    </w:p>
  </w:footnote>
  <w:footnote w:id="46">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آيزر، فعل القراءة؛ نظرية جمالية التجاوب في الأدب، ترجمة؛ حميد لحميداني، الجلالي الكدية، مطبعة المناهل، الدار البيضاء. ص5.</w:t>
      </w:r>
    </w:p>
  </w:footnote>
  <w:footnote w:id="47">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5.</w:t>
      </w:r>
    </w:p>
  </w:footnote>
  <w:footnote w:id="48">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5.</w:t>
      </w:r>
    </w:p>
  </w:footnote>
  <w:footnote w:id="49">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5.</w:t>
      </w:r>
    </w:p>
  </w:footnote>
  <w:footnote w:id="50">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حافيظ اسماعيل علوي، مدخل إلى نظرية القراءة. ص 94.</w:t>
      </w:r>
    </w:p>
  </w:footnote>
  <w:footnote w:id="51">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آيزر، فعل القراءة؛ نظرية جمالية التجاوب في الأدب. ص98.</w:t>
      </w:r>
    </w:p>
  </w:footnote>
  <w:footnote w:id="52">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فرانك شويروجن، نظريات التلقي. ص 78.</w:t>
      </w:r>
    </w:p>
  </w:footnote>
  <w:footnote w:id="53">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ص 78، 79</w:t>
      </w:r>
    </w:p>
  </w:footnote>
  <w:footnote w:id="54">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حامد أبو أحمد، القاريء والحكاية، مركز الحضارة العربية، القاهرة، ط2، 2003ن ص 115.</w:t>
      </w:r>
    </w:p>
  </w:footnote>
  <w:footnote w:id="55">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آيزر، فعل القراءة نظرية جمالية التجاوب، ص 89.</w:t>
      </w:r>
    </w:p>
  </w:footnote>
  <w:footnote w:id="56">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حامد أبو أحمد، القارئ والحكاية، ص 78.</w:t>
      </w:r>
    </w:p>
  </w:footnote>
  <w:footnote w:id="57">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حافيظ إسماعيل علوي، مدخل إلى نظرية القراءة، ص 89.</w:t>
      </w:r>
    </w:p>
  </w:footnote>
  <w:footnote w:id="58">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حامد أبو أحمد، المرجع السابق. ص 78.</w:t>
      </w:r>
    </w:p>
  </w:footnote>
  <w:footnote w:id="59">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المرجع نفسه، ص 80ـ</w:t>
      </w:r>
    </w:p>
  </w:footnote>
  <w:footnote w:id="60">
    <w:p w:rsidR="005C5309" w:rsidRDefault="005C5309" w:rsidP="005C5309">
      <w:pPr>
        <w:pStyle w:val="Notedebasdepage"/>
        <w:bidi/>
      </w:pPr>
      <w:r>
        <w:rPr>
          <w:rFonts w:ascii="Simplified Arabic" w:hAnsi="Simplified Arabic"/>
          <w:sz w:val="24"/>
          <w:szCs w:val="24"/>
          <w:rtl/>
          <w:lang w:val="en-US" w:bidi="ar-EG"/>
        </w:rPr>
        <w:t>(</w:t>
      </w:r>
      <w:r>
        <w:rPr>
          <w:rStyle w:val="Appelnotedebasdep"/>
          <w:rFonts w:ascii="Simplified Arabic" w:hAnsi="Simplified Arabic"/>
          <w:sz w:val="24"/>
          <w:szCs w:val="24"/>
        </w:rPr>
        <w:footnoteRef/>
      </w:r>
      <w:r>
        <w:rPr>
          <w:rFonts w:ascii="Simplified Arabic" w:hAnsi="Simplified Arabic"/>
          <w:sz w:val="24"/>
          <w:szCs w:val="24"/>
          <w:rtl/>
        </w:rPr>
        <w:t>) حافيظ إسماعيل علوي، المرجع السابق، ص ص 88- 89.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0E20"/>
    <w:multiLevelType w:val="hybridMultilevel"/>
    <w:tmpl w:val="3C0AB22E"/>
    <w:lvl w:ilvl="0" w:tplc="1A4071F8">
      <w:numFmt w:val="bullet"/>
      <w:lvlText w:val="-"/>
      <w:lvlJc w:val="left"/>
      <w:pPr>
        <w:ind w:left="720" w:hanging="360"/>
      </w:pPr>
      <w:rPr>
        <w:rFonts w:ascii="Traditional Arabic" w:eastAsia="Times New Roman" w:hAnsi="Traditional Arabic"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nsid w:val="44A25012"/>
    <w:multiLevelType w:val="hybridMultilevel"/>
    <w:tmpl w:val="EE7EF21A"/>
    <w:lvl w:ilvl="0" w:tplc="09BAA3C2">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71103E58"/>
    <w:multiLevelType w:val="hybridMultilevel"/>
    <w:tmpl w:val="90CEAED2"/>
    <w:lvl w:ilvl="0" w:tplc="1A4071F8">
      <w:numFmt w:val="bullet"/>
      <w:lvlText w:val="-"/>
      <w:lvlJc w:val="left"/>
      <w:pPr>
        <w:ind w:left="785" w:hanging="360"/>
      </w:pPr>
      <w:rPr>
        <w:rFonts w:ascii="Traditional Arabic" w:eastAsia="Times New Roman" w:hAnsi="Traditional Arabic" w:cs="Times New Roman" w:hint="default"/>
      </w:rPr>
    </w:lvl>
    <w:lvl w:ilvl="1" w:tplc="040C0003">
      <w:start w:val="1"/>
      <w:numFmt w:val="bullet"/>
      <w:lvlText w:val="o"/>
      <w:lvlJc w:val="left"/>
      <w:pPr>
        <w:ind w:left="1647" w:hanging="360"/>
      </w:pPr>
      <w:rPr>
        <w:rFonts w:ascii="Courier New" w:hAnsi="Courier New" w:cs="Times New Roman"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Times New Roman" w:hint="default"/>
      </w:rPr>
    </w:lvl>
    <w:lvl w:ilvl="5" w:tplc="040C0005">
      <w:start w:val="1"/>
      <w:numFmt w:val="bullet"/>
      <w:lvlText w:val=""/>
      <w:lvlJc w:val="left"/>
      <w:pPr>
        <w:ind w:left="4527" w:hanging="360"/>
      </w:pPr>
      <w:rPr>
        <w:rFonts w:ascii="Wingdings" w:hAnsi="Wingdings" w:hint="default"/>
      </w:rPr>
    </w:lvl>
    <w:lvl w:ilvl="6" w:tplc="040C0001">
      <w:start w:val="1"/>
      <w:numFmt w:val="bullet"/>
      <w:lvlText w:val=""/>
      <w:lvlJc w:val="left"/>
      <w:pPr>
        <w:ind w:left="5247" w:hanging="360"/>
      </w:pPr>
      <w:rPr>
        <w:rFonts w:ascii="Symbol" w:hAnsi="Symbol" w:hint="default"/>
      </w:rPr>
    </w:lvl>
    <w:lvl w:ilvl="7" w:tplc="040C0003">
      <w:start w:val="1"/>
      <w:numFmt w:val="bullet"/>
      <w:lvlText w:val="o"/>
      <w:lvlJc w:val="left"/>
      <w:pPr>
        <w:ind w:left="5967" w:hanging="360"/>
      </w:pPr>
      <w:rPr>
        <w:rFonts w:ascii="Courier New" w:hAnsi="Courier New" w:cs="Times New Roman" w:hint="default"/>
      </w:rPr>
    </w:lvl>
    <w:lvl w:ilvl="8" w:tplc="040C0005">
      <w:start w:val="1"/>
      <w:numFmt w:val="bullet"/>
      <w:lvlText w:val=""/>
      <w:lvlJc w:val="left"/>
      <w:pPr>
        <w:ind w:left="6687"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09"/>
    <w:rsid w:val="00052DEE"/>
    <w:rsid w:val="00257BE9"/>
    <w:rsid w:val="003E75A6"/>
    <w:rsid w:val="005C5309"/>
    <w:rsid w:val="00755AF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5309"/>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5C5309"/>
    <w:rPr>
      <w:rFonts w:ascii="Times New Roman" w:hAnsi="Times New Roman" w:cs="Simplified Arabic"/>
      <w:sz w:val="20"/>
      <w:szCs w:val="20"/>
    </w:rPr>
  </w:style>
  <w:style w:type="paragraph" w:styleId="Paragraphedeliste">
    <w:name w:val="List Paragraph"/>
    <w:basedOn w:val="Normal"/>
    <w:uiPriority w:val="99"/>
    <w:qFormat/>
    <w:rsid w:val="005C5309"/>
    <w:pPr>
      <w:spacing w:after="0" w:line="240" w:lineRule="auto"/>
      <w:ind w:left="720"/>
      <w:jc w:val="both"/>
    </w:pPr>
    <w:rPr>
      <w:rFonts w:ascii="Calibri" w:eastAsia="Times New Roman" w:hAnsi="Calibri" w:cs="Simplified Arabic"/>
      <w:sz w:val="28"/>
      <w:szCs w:val="32"/>
    </w:rPr>
  </w:style>
  <w:style w:type="character" w:styleId="Appelnotedebasdep">
    <w:name w:val="footnote reference"/>
    <w:basedOn w:val="Policepardfaut"/>
    <w:uiPriority w:val="99"/>
    <w:semiHidden/>
    <w:unhideWhenUsed/>
    <w:rsid w:val="005C53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C5309"/>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5C5309"/>
    <w:rPr>
      <w:rFonts w:ascii="Times New Roman" w:hAnsi="Times New Roman" w:cs="Simplified Arabic"/>
      <w:sz w:val="20"/>
      <w:szCs w:val="20"/>
    </w:rPr>
  </w:style>
  <w:style w:type="paragraph" w:styleId="Paragraphedeliste">
    <w:name w:val="List Paragraph"/>
    <w:basedOn w:val="Normal"/>
    <w:uiPriority w:val="99"/>
    <w:qFormat/>
    <w:rsid w:val="005C5309"/>
    <w:pPr>
      <w:spacing w:after="0" w:line="240" w:lineRule="auto"/>
      <w:ind w:left="720"/>
      <w:jc w:val="both"/>
    </w:pPr>
    <w:rPr>
      <w:rFonts w:ascii="Calibri" w:eastAsia="Times New Roman" w:hAnsi="Calibri" w:cs="Simplified Arabic"/>
      <w:sz w:val="28"/>
      <w:szCs w:val="32"/>
    </w:rPr>
  </w:style>
  <w:style w:type="character" w:styleId="Appelnotedebasdep">
    <w:name w:val="footnote reference"/>
    <w:basedOn w:val="Policepardfaut"/>
    <w:uiPriority w:val="99"/>
    <w:semiHidden/>
    <w:unhideWhenUsed/>
    <w:rsid w:val="005C53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4091</Words>
  <Characters>22506</Characters>
  <Application>Microsoft Office Word</Application>
  <DocSecurity>0</DocSecurity>
  <Lines>187</Lines>
  <Paragraphs>53</Paragraphs>
  <ScaleCrop>false</ScaleCrop>
  <Company>rdkc</Company>
  <LinksUpToDate>false</LinksUpToDate>
  <CharactersWithSpaces>26544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2021-01-28T10:39:00Z</dcterms:created>
  <dcterms:modified xsi:type="dcterms:W3CDTF">2021-01-28T19:50:00Z</dcterms:modified>
</cp:coreProperties>
</file>