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55F2" w:rsidRDefault="00013895" w:rsidP="004A55F2">
      <w:pPr>
        <w:bidi/>
        <w:ind w:firstLine="397"/>
        <w:jc w:val="both"/>
        <w:rPr>
          <w:rFonts w:ascii="Sakkal Majalla" w:hAnsi="Sakkal Majalla" w:cs="Sakkal Majalla"/>
          <w:b/>
          <w:bCs/>
          <w:color w:val="000000"/>
          <w:sz w:val="32"/>
          <w:szCs w:val="32"/>
          <w:lang w:bidi="ar-DZ"/>
        </w:rPr>
      </w:pPr>
      <w:r>
        <w:rPr>
          <w:rFonts w:ascii="Traditional Arabic" w:hAnsi="Traditional Arabic" w:cs="Traditional Arabic"/>
          <w:b/>
          <w:bCs/>
          <w:sz w:val="34"/>
          <w:szCs w:val="34"/>
          <w:rtl/>
          <w:lang w:bidi="ar-DZ"/>
        </w:rPr>
        <w:t>المحاضرة</w:t>
      </w:r>
      <w:r w:rsidR="00F8748E">
        <w:rPr>
          <w:rFonts w:ascii="Traditional Arabic" w:hAnsi="Traditional Arabic" w:cs="Traditional Arabic" w:hint="cs"/>
          <w:b/>
          <w:bCs/>
          <w:sz w:val="34"/>
          <w:szCs w:val="34"/>
          <w:rtl/>
          <w:lang w:bidi="ar-DZ"/>
        </w:rPr>
        <w:t xml:space="preserve"> السابعة و الثامنة </w:t>
      </w:r>
      <w:bookmarkStart w:id="0" w:name="_GoBack"/>
      <w:bookmarkEnd w:id="0"/>
      <w:r>
        <w:rPr>
          <w:rFonts w:ascii="Traditional Arabic" w:hAnsi="Traditional Arabic" w:cs="Traditional Arabic" w:hint="cs"/>
          <w:b/>
          <w:bCs/>
          <w:sz w:val="34"/>
          <w:szCs w:val="34"/>
          <w:rtl/>
          <w:lang w:bidi="ar-DZ"/>
        </w:rPr>
        <w:t>:</w:t>
      </w:r>
      <w:r w:rsidR="004A55F2">
        <w:rPr>
          <w:rFonts w:ascii="Sakkal Majalla" w:hAnsi="Sakkal Majalla" w:cs="Sakkal Majalla"/>
          <w:b/>
          <w:bCs/>
          <w:color w:val="000000"/>
          <w:sz w:val="32"/>
          <w:szCs w:val="32"/>
          <w:rtl/>
          <w:lang w:bidi="ar-DZ"/>
        </w:rPr>
        <w:t>النقد، تفكيك النسق المفهومي:</w:t>
      </w:r>
    </w:p>
    <w:p w:rsidR="004A55F2" w:rsidRDefault="004A55F2" w:rsidP="004A55F2">
      <w:pPr>
        <w:bidi/>
        <w:ind w:firstLine="397"/>
        <w:jc w:val="both"/>
        <w:rPr>
          <w:rFonts w:ascii="Sakkal Majalla" w:hAnsi="Sakkal Majalla" w:cs="Sakkal Majalla"/>
          <w:color w:val="000000"/>
          <w:sz w:val="32"/>
          <w:szCs w:val="32"/>
          <w:rtl/>
          <w:lang w:bidi="ar-DZ"/>
        </w:rPr>
      </w:pPr>
      <w:r>
        <w:rPr>
          <w:rFonts w:ascii="Sakkal Majalla" w:hAnsi="Sakkal Majalla" w:cs="Sakkal Majalla"/>
          <w:color w:val="000000"/>
          <w:sz w:val="32"/>
          <w:szCs w:val="32"/>
          <w:rtl/>
          <w:lang w:bidi="ar-DZ"/>
        </w:rPr>
        <w:t xml:space="preserve">إن الحفر في الرواسب المعرفية، والنبش في طبقات </w:t>
      </w:r>
      <w:r>
        <w:rPr>
          <w:rFonts w:ascii="Sakkal Majalla" w:hAnsi="Sakkal Majalla" w:cs="Sakkal Majalla"/>
          <w:color w:val="000000"/>
          <w:sz w:val="32"/>
          <w:szCs w:val="32"/>
          <w:rtl/>
        </w:rPr>
        <w:t>الخطاب</w:t>
      </w:r>
      <w:r>
        <w:rPr>
          <w:rFonts w:ascii="Sakkal Majalla" w:hAnsi="Sakkal Majalla" w:cs="Sakkal Majalla"/>
          <w:color w:val="000000"/>
          <w:sz w:val="32"/>
          <w:szCs w:val="32"/>
          <w:rtl/>
          <w:lang w:bidi="ar-DZ"/>
        </w:rPr>
        <w:t xml:space="preserve"> يؤدي إلى كشف القيم </w:t>
      </w:r>
      <w:r>
        <w:rPr>
          <w:rFonts w:ascii="Sakkal Majalla" w:hAnsi="Sakkal Majalla" w:cs="Sakkal Majalla"/>
          <w:color w:val="000000"/>
          <w:sz w:val="32"/>
          <w:szCs w:val="32"/>
          <w:rtl/>
        </w:rPr>
        <w:t>ال</w:t>
      </w:r>
      <w:r>
        <w:rPr>
          <w:rFonts w:ascii="Sakkal Majalla" w:hAnsi="Sakkal Majalla" w:cs="Sakkal Majalla"/>
          <w:color w:val="000000"/>
          <w:sz w:val="32"/>
          <w:szCs w:val="32"/>
          <w:rtl/>
          <w:lang w:bidi="ar-DZ"/>
        </w:rPr>
        <w:t xml:space="preserve">أنطولوجية للمفهوم الذي اكتسب مفهوميته بلغة دولوز </w:t>
      </w:r>
      <w:r>
        <w:rPr>
          <w:rFonts w:ascii="Sakkal Majalla" w:hAnsi="Sakkal Majalla" w:cs="Sakkal Majalla"/>
          <w:color w:val="000000"/>
          <w:sz w:val="32"/>
          <w:szCs w:val="32"/>
          <w:lang w:bidi="ar-DZ"/>
        </w:rPr>
        <w:t>Deleuze</w:t>
      </w:r>
      <w:r>
        <w:rPr>
          <w:rFonts w:ascii="Sakkal Majalla" w:hAnsi="Sakkal Majalla" w:cs="Sakkal Majalla"/>
          <w:color w:val="000000"/>
          <w:sz w:val="32"/>
          <w:szCs w:val="32"/>
          <w:rtl/>
          <w:lang w:bidi="ar-DZ"/>
        </w:rPr>
        <w:t xml:space="preserve"> ننطلق فيها من دال التعرية الذي ننفذ فيه إلى أهم المحددات النسقية للحدث التاريخي، الذي ركز صورة للمفهوم الفحل، النقد الذي لم يصبح يعني فقط الحكم في الأدبيات المعجمية التقليدية.</w:t>
      </w:r>
    </w:p>
    <w:p w:rsidR="004A55F2" w:rsidRDefault="004A55F2" w:rsidP="004A55F2">
      <w:pPr>
        <w:bidi/>
        <w:ind w:firstLine="397"/>
        <w:jc w:val="both"/>
        <w:rPr>
          <w:rFonts w:ascii="Sakkal Majalla" w:hAnsi="Sakkal Majalla" w:cs="Sakkal Majalla"/>
          <w:color w:val="000000"/>
          <w:sz w:val="32"/>
          <w:szCs w:val="32"/>
          <w:rtl/>
          <w:lang w:bidi="ar-DZ"/>
        </w:rPr>
      </w:pPr>
      <w:r>
        <w:rPr>
          <w:rFonts w:ascii="Sakkal Majalla" w:hAnsi="Sakkal Majalla" w:cs="Sakkal Majalla"/>
          <w:color w:val="000000"/>
          <w:sz w:val="32"/>
          <w:szCs w:val="32"/>
          <w:rtl/>
          <w:lang w:bidi="ar-DZ"/>
        </w:rPr>
        <w:t>بل أصبحت له دلالات مختلفة في مسار التفكير الغربي يحيل على:</w:t>
      </w:r>
    </w:p>
    <w:p w:rsidR="004A55F2" w:rsidRDefault="004A55F2" w:rsidP="004A55F2">
      <w:pPr>
        <w:bidi/>
        <w:ind w:firstLine="397"/>
        <w:jc w:val="both"/>
        <w:rPr>
          <w:rFonts w:ascii="Sakkal Majalla" w:hAnsi="Sakkal Majalla" w:cs="Sakkal Majalla"/>
          <w:color w:val="000000"/>
          <w:sz w:val="32"/>
          <w:szCs w:val="32"/>
          <w:rtl/>
          <w:lang w:bidi="ar-DZ"/>
        </w:rPr>
      </w:pPr>
      <w:r>
        <w:rPr>
          <w:rFonts w:ascii="Sakkal Majalla" w:hAnsi="Sakkal Majalla" w:cs="Sakkal Majalla"/>
          <w:color w:val="000000"/>
          <w:sz w:val="32"/>
          <w:szCs w:val="32"/>
          <w:rtl/>
          <w:lang w:bidi="ar-DZ"/>
        </w:rPr>
        <w:t>النقد؛ التحليل.</w:t>
      </w:r>
    </w:p>
    <w:p w:rsidR="004A55F2" w:rsidRDefault="004A55F2" w:rsidP="004A55F2">
      <w:pPr>
        <w:bidi/>
        <w:ind w:firstLine="397"/>
        <w:jc w:val="both"/>
        <w:rPr>
          <w:rFonts w:ascii="Sakkal Majalla" w:hAnsi="Sakkal Majalla" w:cs="Sakkal Majalla"/>
          <w:color w:val="000000"/>
          <w:sz w:val="32"/>
          <w:szCs w:val="32"/>
          <w:rtl/>
          <w:lang w:bidi="ar-DZ"/>
        </w:rPr>
      </w:pPr>
      <w:r>
        <w:rPr>
          <w:rFonts w:ascii="Sakkal Majalla" w:hAnsi="Sakkal Majalla" w:cs="Sakkal Majalla"/>
          <w:color w:val="000000"/>
          <w:sz w:val="32"/>
          <w:szCs w:val="32"/>
          <w:rtl/>
          <w:lang w:bidi="ar-DZ"/>
        </w:rPr>
        <w:t>النقد؛ دراسة.</w:t>
      </w:r>
    </w:p>
    <w:p w:rsidR="004A55F2" w:rsidRDefault="004A55F2" w:rsidP="004A55F2">
      <w:pPr>
        <w:bidi/>
        <w:ind w:firstLine="397"/>
        <w:jc w:val="both"/>
        <w:rPr>
          <w:rFonts w:ascii="Sakkal Majalla" w:hAnsi="Sakkal Majalla" w:cs="Sakkal Majalla"/>
          <w:color w:val="000000"/>
          <w:sz w:val="32"/>
          <w:szCs w:val="32"/>
          <w:rtl/>
          <w:lang w:bidi="ar-DZ"/>
        </w:rPr>
      </w:pPr>
      <w:r>
        <w:rPr>
          <w:rFonts w:ascii="Sakkal Majalla" w:hAnsi="Sakkal Majalla" w:cs="Sakkal Majalla"/>
          <w:color w:val="000000"/>
          <w:sz w:val="32"/>
          <w:szCs w:val="32"/>
          <w:rtl/>
          <w:lang w:bidi="ar-DZ"/>
        </w:rPr>
        <w:t>النقد؛ اختبار.</w:t>
      </w:r>
    </w:p>
    <w:p w:rsidR="004A55F2" w:rsidRDefault="004A55F2" w:rsidP="004A55F2">
      <w:pPr>
        <w:bidi/>
        <w:ind w:firstLine="397"/>
        <w:jc w:val="both"/>
        <w:rPr>
          <w:rFonts w:ascii="Sakkal Majalla" w:hAnsi="Sakkal Majalla" w:cs="Sakkal Majalla"/>
          <w:color w:val="000000"/>
          <w:sz w:val="32"/>
          <w:szCs w:val="32"/>
          <w:rtl/>
          <w:lang w:bidi="ar-DZ"/>
        </w:rPr>
      </w:pPr>
      <w:r>
        <w:rPr>
          <w:rFonts w:ascii="Sakkal Majalla" w:hAnsi="Sakkal Majalla" w:cs="Sakkal Majalla"/>
          <w:color w:val="000000"/>
          <w:sz w:val="32"/>
          <w:szCs w:val="32"/>
          <w:rtl/>
          <w:lang w:bidi="ar-DZ"/>
        </w:rPr>
        <w:t>النقد؛ حكم.</w:t>
      </w:r>
      <w:r>
        <w:rPr>
          <w:rStyle w:val="Appelnotedebasdep"/>
          <w:rFonts w:ascii="Sakkal Majalla" w:hAnsi="Sakkal Majalla" w:cs="Sakkal Majalla"/>
          <w:color w:val="000000"/>
          <w:sz w:val="32"/>
          <w:szCs w:val="32"/>
          <w:rtl/>
          <w:lang w:bidi="ar-DZ"/>
        </w:rPr>
        <w:footnoteReference w:id="1"/>
      </w:r>
    </w:p>
    <w:p w:rsidR="004A55F2" w:rsidRDefault="004A55F2" w:rsidP="004A55F2">
      <w:pPr>
        <w:bidi/>
        <w:ind w:firstLine="397"/>
        <w:jc w:val="both"/>
        <w:rPr>
          <w:rFonts w:ascii="Sakkal Majalla" w:hAnsi="Sakkal Majalla" w:cs="Sakkal Majalla"/>
          <w:color w:val="000000"/>
          <w:sz w:val="32"/>
          <w:szCs w:val="32"/>
          <w:rtl/>
          <w:lang w:bidi="ar-DZ"/>
        </w:rPr>
      </w:pPr>
      <w:r>
        <w:rPr>
          <w:rFonts w:ascii="Sakkal Majalla" w:hAnsi="Sakkal Majalla" w:cs="Sakkal Majalla"/>
          <w:color w:val="000000"/>
          <w:sz w:val="32"/>
          <w:szCs w:val="32"/>
          <w:rtl/>
          <w:lang w:bidi="ar-DZ"/>
        </w:rPr>
        <w:t>النقد؛ قراءة.</w:t>
      </w:r>
    </w:p>
    <w:p w:rsidR="004A55F2" w:rsidRDefault="004A55F2" w:rsidP="004A55F2">
      <w:pPr>
        <w:bidi/>
        <w:ind w:firstLine="397"/>
        <w:jc w:val="both"/>
        <w:rPr>
          <w:rFonts w:ascii="Sakkal Majalla" w:hAnsi="Sakkal Majalla" w:cs="Sakkal Majalla"/>
          <w:color w:val="000000"/>
          <w:sz w:val="32"/>
          <w:szCs w:val="32"/>
          <w:rtl/>
          <w:lang w:bidi="ar-DZ"/>
        </w:rPr>
      </w:pPr>
      <w:r>
        <w:rPr>
          <w:rFonts w:ascii="Sakkal Majalla" w:hAnsi="Sakkal Majalla" w:cs="Sakkal Majalla"/>
          <w:color w:val="000000"/>
          <w:sz w:val="32"/>
          <w:szCs w:val="32"/>
          <w:rtl/>
          <w:lang w:bidi="ar-DZ"/>
        </w:rPr>
        <w:t>النقد؛ تأويل.</w:t>
      </w:r>
    </w:p>
    <w:p w:rsidR="004A55F2" w:rsidRDefault="004A55F2" w:rsidP="004A55F2">
      <w:pPr>
        <w:bidi/>
        <w:ind w:firstLine="397"/>
        <w:jc w:val="both"/>
        <w:rPr>
          <w:rFonts w:ascii="Sakkal Majalla" w:hAnsi="Sakkal Majalla" w:cs="Sakkal Majalla"/>
          <w:color w:val="000000"/>
          <w:sz w:val="32"/>
          <w:szCs w:val="32"/>
          <w:rtl/>
          <w:lang w:bidi="ar-DZ"/>
        </w:rPr>
      </w:pPr>
      <w:r>
        <w:rPr>
          <w:rFonts w:ascii="Sakkal Majalla" w:hAnsi="Sakkal Majalla" w:cs="Sakkal Majalla"/>
          <w:color w:val="000000"/>
          <w:sz w:val="32"/>
          <w:szCs w:val="32"/>
          <w:rtl/>
          <w:lang w:bidi="ar-DZ"/>
        </w:rPr>
        <w:t>النقد؛ تواصل.</w:t>
      </w:r>
    </w:p>
    <w:p w:rsidR="004A55F2" w:rsidRDefault="004A55F2" w:rsidP="004A55F2">
      <w:pPr>
        <w:bidi/>
        <w:ind w:firstLine="397"/>
        <w:jc w:val="both"/>
        <w:rPr>
          <w:rFonts w:ascii="Sakkal Majalla" w:hAnsi="Sakkal Majalla" w:cs="Sakkal Majalla"/>
          <w:color w:val="000000"/>
          <w:sz w:val="32"/>
          <w:szCs w:val="32"/>
          <w:rtl/>
          <w:lang w:bidi="ar-DZ"/>
        </w:rPr>
      </w:pPr>
      <w:r>
        <w:rPr>
          <w:rFonts w:ascii="Sakkal Majalla" w:hAnsi="Sakkal Majalla" w:cs="Sakkal Majalla"/>
          <w:color w:val="000000"/>
          <w:sz w:val="32"/>
          <w:szCs w:val="32"/>
          <w:rtl/>
          <w:lang w:bidi="ar-DZ"/>
        </w:rPr>
        <w:t>هي ليست مرادفات لمدلول ((نقد)) بل هي مختزنة في المجال التداولي</w:t>
      </w:r>
      <w:r>
        <w:rPr>
          <w:rFonts w:ascii="Sakkal Majalla" w:hAnsi="Sakkal Majalla" w:cs="Sakkal Majalla"/>
          <w:color w:val="000000"/>
          <w:sz w:val="32"/>
          <w:szCs w:val="32"/>
          <w:lang w:bidi="ar-DZ"/>
        </w:rPr>
        <w:t>Parcours Pragmatique</w:t>
      </w:r>
      <w:r>
        <w:rPr>
          <w:rFonts w:ascii="Sakkal Majalla" w:hAnsi="Sakkal Majalla" w:cs="Sakkal Majalla"/>
          <w:color w:val="000000"/>
          <w:sz w:val="32"/>
          <w:szCs w:val="32"/>
          <w:rtl/>
          <w:lang w:bidi="ar-DZ"/>
        </w:rPr>
        <w:t xml:space="preserve"> للفظة بل أصبح النقد على مستوى المسطح المحايث</w:t>
      </w:r>
      <w:r>
        <w:rPr>
          <w:rStyle w:val="Appelnotedebasdep"/>
          <w:rFonts w:ascii="Sakkal Majalla" w:hAnsi="Sakkal Majalla" w:cs="Sakkal Majalla"/>
          <w:color w:val="000000"/>
          <w:sz w:val="32"/>
          <w:szCs w:val="32"/>
          <w:rtl/>
          <w:lang w:bidi="ar-DZ"/>
        </w:rPr>
        <w:footnoteReference w:id="2"/>
      </w:r>
      <w:r>
        <w:rPr>
          <w:rFonts w:ascii="Sakkal Majalla" w:hAnsi="Sakkal Majalla" w:cs="Sakkal Majalla"/>
          <w:color w:val="000000"/>
          <w:sz w:val="32"/>
          <w:szCs w:val="32"/>
          <w:rtl/>
          <w:lang w:bidi="ar-DZ"/>
        </w:rPr>
        <w:t>.</w:t>
      </w:r>
    </w:p>
    <w:p w:rsidR="004A55F2" w:rsidRDefault="004A55F2" w:rsidP="004A55F2">
      <w:pPr>
        <w:bidi/>
        <w:ind w:firstLine="397"/>
        <w:jc w:val="both"/>
        <w:rPr>
          <w:rFonts w:ascii="Sakkal Majalla" w:hAnsi="Sakkal Majalla" w:cs="Sakkal Majalla"/>
          <w:color w:val="000000"/>
          <w:sz w:val="32"/>
          <w:szCs w:val="32"/>
          <w:rtl/>
          <w:lang w:bidi="ar-DZ"/>
        </w:rPr>
      </w:pPr>
      <w:r>
        <w:rPr>
          <w:rFonts w:ascii="Sakkal Majalla" w:hAnsi="Sakkal Majalla" w:cs="Sakkal Majalla"/>
          <w:color w:val="000000"/>
          <w:sz w:val="32"/>
          <w:szCs w:val="32"/>
          <w:rtl/>
          <w:lang w:bidi="ar-DZ"/>
        </w:rPr>
        <w:lastRenderedPageBreak/>
        <w:t>يعني أكثر من نظرية، إستراتيجية، ولعل هذه اللفتة هي التي يقف عندها صاحبا كتاب ((دليل الناقد الأدبي)) في قولهما: ((يعتمد فهم النظرية النقدية كثيرًا على فهم الموروث المتحوصل في مفردتين اسمهما: النظرية والنقد.</w:t>
      </w:r>
    </w:p>
    <w:p w:rsidR="004A55F2" w:rsidRDefault="004A55F2" w:rsidP="004A55F2">
      <w:pPr>
        <w:bidi/>
        <w:ind w:firstLine="397"/>
        <w:jc w:val="both"/>
        <w:rPr>
          <w:rFonts w:ascii="Sakkal Majalla" w:hAnsi="Sakkal Majalla" w:cs="Sakkal Majalla"/>
          <w:color w:val="000000"/>
          <w:sz w:val="32"/>
          <w:szCs w:val="32"/>
          <w:rtl/>
          <w:lang w:bidi="ar-DZ"/>
        </w:rPr>
      </w:pPr>
      <w:r>
        <w:rPr>
          <w:rFonts w:ascii="Sakkal Majalla" w:hAnsi="Sakkal Majalla" w:cs="Sakkal Majalla"/>
          <w:color w:val="000000"/>
          <w:sz w:val="32"/>
          <w:szCs w:val="32"/>
          <w:rtl/>
          <w:lang w:bidi="ar-DZ"/>
        </w:rPr>
        <w:t>خاصة أن مفهوم النقد حين يعاد إلى أصوله الإغريقية، ومسيرة تطوره إلى عصرنا الحاضر يكتسب إيحاءات تغيب عن فهمها لهذه المفردة. فالإيحاءات المتعاقبة على المفردة الإغريقية تتصل بنشاط الفصل، والحكم على الشيء، واتخاذ القرار)))</w:t>
      </w:r>
      <w:r>
        <w:rPr>
          <w:rStyle w:val="Appelnotedebasdep"/>
          <w:rFonts w:ascii="Sakkal Majalla" w:hAnsi="Sakkal Majalla" w:cs="Sakkal Majalla"/>
          <w:color w:val="000000"/>
          <w:sz w:val="32"/>
          <w:szCs w:val="32"/>
          <w:rtl/>
          <w:lang w:bidi="ar-DZ"/>
        </w:rPr>
        <w:footnoteReference w:id="3"/>
      </w:r>
      <w:r>
        <w:rPr>
          <w:rFonts w:ascii="Sakkal Majalla" w:hAnsi="Sakkal Majalla" w:cs="Sakkal Majalla"/>
          <w:color w:val="000000"/>
          <w:sz w:val="32"/>
          <w:szCs w:val="32"/>
          <w:rtl/>
          <w:lang w:bidi="ar-DZ"/>
        </w:rPr>
        <w:t xml:space="preserve">. </w:t>
      </w:r>
    </w:p>
    <w:p w:rsidR="004A55F2" w:rsidRDefault="004A55F2" w:rsidP="004A55F2">
      <w:pPr>
        <w:bidi/>
        <w:ind w:firstLine="397"/>
        <w:jc w:val="both"/>
        <w:rPr>
          <w:rFonts w:ascii="Sakkal Majalla" w:hAnsi="Sakkal Majalla" w:cs="Sakkal Majalla"/>
          <w:color w:val="000000"/>
          <w:sz w:val="32"/>
          <w:szCs w:val="32"/>
          <w:rtl/>
          <w:lang w:bidi="ar-DZ"/>
        </w:rPr>
      </w:pPr>
      <w:r>
        <w:rPr>
          <w:rFonts w:ascii="Sakkal Majalla" w:hAnsi="Sakkal Majalla" w:cs="Sakkal Majalla"/>
          <w:color w:val="000000"/>
          <w:sz w:val="32"/>
          <w:szCs w:val="32"/>
          <w:rtl/>
          <w:lang w:bidi="ar-DZ"/>
        </w:rPr>
        <w:t xml:space="preserve">بل لم يقفا عند هذا الحد بل قطعا عندي توجسًا كنت قد افترضت له بداية أن النقد كمفهوم؛ تحول على نفسه دلالة بتحول الأطر المرجعية له، ففي استخداماتها القديمة الكلاسيكية فإن مفردة ((نقد)) انتظمت ثلاثة فضاءات محددة، فقد استخدمت في إقامة ((العدالة))، واستخدمها أرسطو ليحيل إلى القرار القضائي الذي يبت في أمر خصومة ما. </w:t>
      </w:r>
    </w:p>
    <w:p w:rsidR="004A55F2" w:rsidRDefault="004A55F2" w:rsidP="004A55F2">
      <w:pPr>
        <w:bidi/>
        <w:ind w:firstLine="397"/>
        <w:jc w:val="both"/>
        <w:rPr>
          <w:rFonts w:ascii="Sakkal Majalla" w:hAnsi="Sakkal Majalla" w:cs="Sakkal Majalla"/>
          <w:color w:val="000000"/>
          <w:sz w:val="32"/>
          <w:szCs w:val="32"/>
          <w:rtl/>
        </w:rPr>
      </w:pPr>
      <w:r>
        <w:rPr>
          <w:rFonts w:ascii="Sakkal Majalla" w:hAnsi="Sakkal Majalla" w:cs="Sakkal Majalla"/>
          <w:color w:val="000000"/>
          <w:sz w:val="32"/>
          <w:szCs w:val="32"/>
          <w:rtl/>
          <w:lang w:bidi="ar-DZ"/>
        </w:rPr>
        <w:t xml:space="preserve">ثم تطور كمفهوم طبي للمفردة، وتعني مفردة نقد في المفهوم الطبي اللحظة الحرجة، ولحظة التحول في مرحلة المرض </w:t>
      </w:r>
      <w:proofErr w:type="spellStart"/>
      <w:r>
        <w:rPr>
          <w:rFonts w:ascii="Sakkal Majalla" w:hAnsi="Sakkal Majalla" w:cs="Sakkal Majalla"/>
          <w:color w:val="000000"/>
          <w:sz w:val="32"/>
          <w:szCs w:val="32"/>
          <w:lang w:bidi="ar-DZ"/>
        </w:rPr>
        <w:t>Critical</w:t>
      </w:r>
      <w:proofErr w:type="spellEnd"/>
      <w:r>
        <w:rPr>
          <w:rFonts w:ascii="Sakkal Majalla" w:hAnsi="Sakkal Majalla" w:cs="Sakkal Majalla"/>
          <w:color w:val="000000"/>
          <w:sz w:val="32"/>
          <w:szCs w:val="32"/>
          <w:rtl/>
          <w:lang w:bidi="ar-DZ"/>
        </w:rPr>
        <w:t>. أما في العصر الهيليني فقد اكتسبت المفردة معنى دراسة النصوص الأدبية))</w:t>
      </w:r>
      <w:r>
        <w:rPr>
          <w:rStyle w:val="Appelnotedebasdep"/>
          <w:rFonts w:ascii="Sakkal Majalla" w:hAnsi="Sakkal Majalla" w:cs="Sakkal Majalla"/>
          <w:color w:val="000000"/>
          <w:sz w:val="32"/>
          <w:szCs w:val="32"/>
          <w:rtl/>
          <w:lang w:bidi="ar-DZ"/>
        </w:rPr>
        <w:footnoteReference w:id="4"/>
      </w:r>
      <w:r>
        <w:rPr>
          <w:rFonts w:ascii="Sakkal Majalla" w:hAnsi="Sakkal Majalla" w:cs="Sakkal Majalla"/>
          <w:color w:val="000000"/>
          <w:sz w:val="32"/>
          <w:szCs w:val="32"/>
          <w:rtl/>
        </w:rPr>
        <w:t>.</w:t>
      </w:r>
    </w:p>
    <w:p w:rsidR="004A55F2" w:rsidRDefault="004A55F2" w:rsidP="004A55F2">
      <w:pPr>
        <w:bidi/>
        <w:ind w:firstLine="397"/>
        <w:jc w:val="both"/>
        <w:rPr>
          <w:rFonts w:ascii="Sakkal Majalla" w:hAnsi="Sakkal Majalla" w:cs="Sakkal Majalla"/>
          <w:color w:val="000000"/>
          <w:sz w:val="32"/>
          <w:szCs w:val="32"/>
          <w:rtl/>
          <w:lang w:bidi="ar-DZ"/>
        </w:rPr>
      </w:pPr>
      <w:r>
        <w:rPr>
          <w:rFonts w:ascii="Sakkal Majalla" w:hAnsi="Sakkal Majalla" w:cs="Sakkal Majalla"/>
          <w:color w:val="000000"/>
          <w:sz w:val="32"/>
          <w:szCs w:val="32"/>
          <w:rtl/>
          <w:lang w:bidi="ar-DZ"/>
        </w:rPr>
        <w:t>وبالتالي فقد توزعت الكلمة على سبيل ما حملناه عليه إلى ثلاثة تخصصات تكاد تقع بعضها على بعض مع شيء من إعادة النظر، وهي لا تناقض بعضها بل هي منظورات للدلالة، إذ تعني:</w:t>
      </w:r>
    </w:p>
    <w:p w:rsidR="004A55F2" w:rsidRDefault="004A55F2" w:rsidP="004A55F2">
      <w:pPr>
        <w:bidi/>
        <w:ind w:firstLine="397"/>
        <w:jc w:val="both"/>
        <w:rPr>
          <w:rFonts w:ascii="Sakkal Majalla" w:hAnsi="Sakkal Majalla" w:cs="Sakkal Majalla"/>
          <w:color w:val="000000"/>
          <w:sz w:val="32"/>
          <w:szCs w:val="32"/>
          <w:rtl/>
          <w:lang w:bidi="ar-DZ"/>
        </w:rPr>
      </w:pPr>
      <w:r>
        <w:rPr>
          <w:rFonts w:ascii="Sakkal Majalla" w:hAnsi="Sakkal Majalla" w:cs="Sakkal Majalla"/>
          <w:color w:val="000000"/>
          <w:sz w:val="32"/>
          <w:szCs w:val="32"/>
          <w:rtl/>
          <w:lang w:bidi="ar-DZ"/>
        </w:rPr>
        <w:t>- الحكم، في حالة القضاء.</w:t>
      </w:r>
    </w:p>
    <w:p w:rsidR="004A55F2" w:rsidRDefault="004A55F2" w:rsidP="004A55F2">
      <w:pPr>
        <w:bidi/>
        <w:ind w:firstLine="397"/>
        <w:jc w:val="both"/>
        <w:rPr>
          <w:rFonts w:ascii="Sakkal Majalla" w:hAnsi="Sakkal Majalla" w:cs="Sakkal Majalla"/>
          <w:color w:val="000000"/>
          <w:sz w:val="32"/>
          <w:szCs w:val="32"/>
          <w:rtl/>
          <w:lang w:bidi="ar-DZ"/>
        </w:rPr>
      </w:pPr>
      <w:r>
        <w:rPr>
          <w:rFonts w:ascii="Sakkal Majalla" w:hAnsi="Sakkal Majalla" w:cs="Sakkal Majalla"/>
          <w:color w:val="000000"/>
          <w:sz w:val="32"/>
          <w:szCs w:val="32"/>
          <w:rtl/>
          <w:lang w:bidi="ar-DZ"/>
        </w:rPr>
        <w:t xml:space="preserve">- التشريح في اللحظة الحرجة. </w:t>
      </w:r>
    </w:p>
    <w:p w:rsidR="004A55F2" w:rsidRDefault="004A55F2" w:rsidP="004A55F2">
      <w:pPr>
        <w:bidi/>
        <w:ind w:firstLine="397"/>
        <w:jc w:val="both"/>
        <w:rPr>
          <w:rFonts w:ascii="Sakkal Majalla" w:hAnsi="Sakkal Majalla" w:cs="Sakkal Majalla"/>
          <w:color w:val="000000"/>
          <w:sz w:val="32"/>
          <w:szCs w:val="32"/>
          <w:rtl/>
          <w:lang w:bidi="ar-DZ"/>
        </w:rPr>
      </w:pPr>
      <w:r>
        <w:rPr>
          <w:rFonts w:ascii="Sakkal Majalla" w:hAnsi="Sakkal Majalla" w:cs="Sakkal Majalla"/>
          <w:color w:val="000000"/>
          <w:sz w:val="32"/>
          <w:szCs w:val="32"/>
          <w:rtl/>
          <w:lang w:bidi="ar-DZ"/>
        </w:rPr>
        <w:t>- القراءة في حالة فهم النصوص.</w:t>
      </w:r>
    </w:p>
    <w:p w:rsidR="004A55F2" w:rsidRDefault="004A55F2" w:rsidP="004A55F2">
      <w:pPr>
        <w:bidi/>
        <w:ind w:firstLine="397"/>
        <w:jc w:val="both"/>
        <w:rPr>
          <w:rFonts w:ascii="Sakkal Majalla" w:hAnsi="Sakkal Majalla" w:cs="Sakkal Majalla"/>
          <w:color w:val="000000"/>
          <w:sz w:val="32"/>
          <w:szCs w:val="32"/>
          <w:rtl/>
          <w:lang w:bidi="ar-DZ"/>
        </w:rPr>
      </w:pPr>
      <w:r>
        <w:rPr>
          <w:rFonts w:ascii="Sakkal Majalla" w:hAnsi="Sakkal Majalla" w:cs="Sakkal Majalla"/>
          <w:color w:val="000000"/>
          <w:sz w:val="32"/>
          <w:szCs w:val="32"/>
          <w:rtl/>
          <w:lang w:bidi="ar-DZ"/>
        </w:rPr>
        <w:t>إذا فدلالة ((النقد)) تقطع كل يقين على مستوى الاستعمال، بمعنى تحولت من دلالة النظر إلى دلالة العمل/ فلسفة الفعل.</w:t>
      </w:r>
    </w:p>
    <w:p w:rsidR="004A55F2" w:rsidRDefault="004A55F2" w:rsidP="004A55F2">
      <w:pPr>
        <w:bidi/>
        <w:ind w:firstLine="397"/>
        <w:jc w:val="both"/>
        <w:rPr>
          <w:rFonts w:ascii="Sakkal Majalla" w:hAnsi="Sakkal Majalla" w:cs="Sakkal Majalla"/>
          <w:color w:val="000000"/>
          <w:sz w:val="32"/>
          <w:szCs w:val="32"/>
          <w:rtl/>
          <w:lang w:bidi="ar-DZ"/>
        </w:rPr>
      </w:pPr>
      <w:r>
        <w:rPr>
          <w:rFonts w:ascii="Sakkal Majalla" w:hAnsi="Sakkal Majalla" w:cs="Sakkal Majalla"/>
          <w:color w:val="000000"/>
          <w:sz w:val="32"/>
          <w:szCs w:val="32"/>
          <w:rtl/>
          <w:lang w:bidi="ar-DZ"/>
        </w:rPr>
        <w:lastRenderedPageBreak/>
        <w:t>وعليه فهذه النسقية المفهومية تتدافع في شكل سلطة تهيمن على المكونات الخطابية من خلال الآلية الحجاجية التي يدفع بها المفهوم، الفحل بنياته كلما عرضت أنساقه المعرفية على البحث والتقريش، وكذلك من خلال تحيين تاريخيته الخاصة التي هي بالأساس آلية دفاعية ظل هذا الإقصاء، الإبدال من تحصيل رؤية العالم التي يحملها المفهوم، أو من تفكيك للذوات التي تسكنه.</w:t>
      </w:r>
    </w:p>
    <w:p w:rsidR="004A55F2" w:rsidRDefault="004A55F2" w:rsidP="004A55F2">
      <w:pPr>
        <w:bidi/>
        <w:ind w:firstLine="397"/>
        <w:jc w:val="both"/>
        <w:rPr>
          <w:rFonts w:ascii="Sakkal Majalla" w:hAnsi="Sakkal Majalla" w:cs="Sakkal Majalla"/>
          <w:color w:val="000000"/>
          <w:sz w:val="32"/>
          <w:szCs w:val="32"/>
          <w:rtl/>
          <w:lang w:bidi="ar-DZ"/>
        </w:rPr>
      </w:pPr>
      <w:r>
        <w:rPr>
          <w:rFonts w:ascii="Sakkal Majalla" w:hAnsi="Sakkal Majalla" w:cs="Sakkal Majalla"/>
          <w:color w:val="000000"/>
          <w:sz w:val="32"/>
          <w:szCs w:val="32"/>
          <w:rtl/>
          <w:lang w:bidi="ar-DZ"/>
        </w:rPr>
        <w:t>لقد تمركز النقد في أسس المراجعات الكبرى</w:t>
      </w:r>
      <w:r>
        <w:rPr>
          <w:rStyle w:val="Appelnotedebasdep"/>
          <w:rFonts w:ascii="Sakkal Majalla" w:hAnsi="Sakkal Majalla" w:cs="Sakkal Majalla"/>
          <w:color w:val="000000"/>
          <w:sz w:val="32"/>
          <w:szCs w:val="32"/>
          <w:lang w:bidi="ar-DZ"/>
        </w:rPr>
        <w:footnoteReference w:customMarkFollows="1" w:id="5"/>
        <w:t>*</w:t>
      </w:r>
      <w:r>
        <w:rPr>
          <w:rFonts w:ascii="Sakkal Majalla" w:hAnsi="Sakkal Majalla" w:cs="Sakkal Majalla"/>
          <w:color w:val="000000"/>
          <w:sz w:val="32"/>
          <w:szCs w:val="32"/>
          <w:rtl/>
          <w:lang w:bidi="ar-DZ"/>
        </w:rPr>
        <w:t xml:space="preserve"> للمشاريع النقدية في الوعي الغربي فأضحت هذه المشاريع طرقًا وسبلًا بنت الرؤية المصاحبة للوعي النقدي، ومهدت الطريق لتظهر بعض المناهج النقدية التي هيمنت على سماء الدراسة النصية.</w:t>
      </w:r>
    </w:p>
    <w:p w:rsidR="004A55F2" w:rsidRDefault="004A55F2" w:rsidP="004A55F2">
      <w:pPr>
        <w:bidi/>
        <w:ind w:firstLine="397"/>
        <w:jc w:val="both"/>
        <w:rPr>
          <w:rFonts w:ascii="Sakkal Majalla" w:hAnsi="Sakkal Majalla" w:cs="Sakkal Majalla"/>
          <w:color w:val="000000"/>
          <w:sz w:val="32"/>
          <w:szCs w:val="32"/>
          <w:rtl/>
          <w:lang w:bidi="ar-DZ"/>
        </w:rPr>
      </w:pPr>
      <w:r>
        <w:rPr>
          <w:rFonts w:ascii="Sakkal Majalla" w:hAnsi="Sakkal Majalla" w:cs="Sakkal Majalla"/>
          <w:color w:val="000000"/>
          <w:sz w:val="32"/>
          <w:szCs w:val="32"/>
          <w:rtl/>
          <w:lang w:bidi="ar-DZ"/>
        </w:rPr>
        <w:t>وللتوضيح تبين أن هذه المناهج لم تتفاعل ذاتيًا بل تأسست نتيجة للمسار الطويل للوعي الغربي الذي تشكل نتيجة المنعطفات التأويلية الكبرى للتفكير الفلسفي، لأن المناهج هي حاصل حراك النظر الحضاري، وليس كما يعتقد البعض أن الموجهات النظرية منفصلة، بل متكاملة تعضد بعضها بعضًا ضد المسار الذي لخصته مقولة هابرماس ((حاضر، الماضي)) فلو تأملنا المدونة النقدية المعاصرة لوجدناها خطابًا على خطاب، بمعنى حالة من التناص الفعال الذي يختزن اللغة النقدية الأولى، فالمعاصرة هي عود على الإشكاليات الأولى في القضايا الكبرى.</w:t>
      </w:r>
    </w:p>
    <w:p w:rsidR="004A55F2" w:rsidRDefault="004A55F2" w:rsidP="004A55F2">
      <w:pPr>
        <w:bidi/>
        <w:ind w:firstLine="397"/>
        <w:jc w:val="both"/>
        <w:rPr>
          <w:rFonts w:ascii="Sakkal Majalla" w:hAnsi="Sakkal Majalla" w:cs="Sakkal Majalla"/>
          <w:color w:val="000000"/>
          <w:sz w:val="32"/>
          <w:szCs w:val="32"/>
          <w:rtl/>
          <w:lang w:bidi="ar-DZ"/>
        </w:rPr>
      </w:pPr>
      <w:r>
        <w:rPr>
          <w:rFonts w:ascii="Sakkal Majalla" w:hAnsi="Sakkal Majalla" w:cs="Sakkal Majalla"/>
          <w:color w:val="000000"/>
          <w:sz w:val="32"/>
          <w:szCs w:val="32"/>
          <w:rtl/>
          <w:lang w:bidi="ar-DZ"/>
        </w:rPr>
        <w:t>ولعل المنظور الذي يقدم لنا جوابا عن التعثر الذي أصاب التصور النقدي العربي المعاصر نلمحه في المسار التطوري للنظرية النقدية الغربية من كون المفهوم تم تخليقه تاريخيا نتيجة الاحتكاك مع النظرية الأدبية التي قامت أساسًا على نقد نظرية الشعر.</w:t>
      </w:r>
    </w:p>
    <w:p w:rsidR="004A55F2" w:rsidRDefault="004A55F2" w:rsidP="004A55F2">
      <w:pPr>
        <w:bidi/>
        <w:ind w:firstLine="397"/>
        <w:jc w:val="both"/>
        <w:rPr>
          <w:rFonts w:ascii="Sakkal Majalla" w:hAnsi="Sakkal Majalla" w:cs="Sakkal Majalla"/>
          <w:color w:val="000000"/>
          <w:sz w:val="32"/>
          <w:szCs w:val="32"/>
          <w:rtl/>
          <w:lang w:bidi="ar-DZ"/>
        </w:rPr>
      </w:pPr>
      <w:r>
        <w:rPr>
          <w:rFonts w:ascii="Sakkal Majalla" w:hAnsi="Sakkal Majalla" w:cs="Sakkal Majalla"/>
          <w:color w:val="000000"/>
          <w:sz w:val="32"/>
          <w:szCs w:val="32"/>
          <w:rtl/>
          <w:lang w:bidi="ar-DZ"/>
        </w:rPr>
        <w:t>لعل هذه القضية تساندنا فيها موسوعة كمبدريدج حين يقول محررها جورج كينيدي: ((ويصل أرسطو في فن الشعر إلى صياغة نظرية في أصول التراجيديا والكوميديا.</w:t>
      </w:r>
    </w:p>
    <w:p w:rsidR="004A55F2" w:rsidRDefault="004A55F2" w:rsidP="004A55F2">
      <w:pPr>
        <w:bidi/>
        <w:ind w:firstLine="397"/>
        <w:jc w:val="both"/>
        <w:rPr>
          <w:rFonts w:ascii="Sakkal Majalla" w:hAnsi="Sakkal Majalla" w:cs="Sakkal Majalla"/>
          <w:color w:val="000000"/>
          <w:sz w:val="32"/>
          <w:szCs w:val="32"/>
          <w:rtl/>
          <w:lang w:bidi="ar-DZ"/>
        </w:rPr>
      </w:pPr>
      <w:r>
        <w:rPr>
          <w:rFonts w:ascii="Sakkal Majalla" w:hAnsi="Sakkal Majalla" w:cs="Sakkal Majalla"/>
          <w:color w:val="000000"/>
          <w:sz w:val="32"/>
          <w:szCs w:val="32"/>
          <w:rtl/>
          <w:lang w:bidi="ar-DZ"/>
        </w:rPr>
        <w:lastRenderedPageBreak/>
        <w:t>وفي العصور اللاحقة كان هناك شيء من الوعي بأن النقد الأدبي أيضًا كان له تاريخ، على سبيل المثال ((هوراتيوس)) في القرن الأول قبل الميلاد إلى الخلف. أي إلى أسلافه بمن فيهم أرستوفانيس وأرسطو(...).</w:t>
      </w:r>
    </w:p>
    <w:p w:rsidR="004A55F2" w:rsidRDefault="004A55F2" w:rsidP="004A55F2">
      <w:pPr>
        <w:bidi/>
        <w:ind w:firstLine="397"/>
        <w:jc w:val="both"/>
        <w:rPr>
          <w:rFonts w:ascii="Sakkal Majalla" w:hAnsi="Sakkal Majalla" w:cs="Sakkal Majalla"/>
          <w:color w:val="000000"/>
          <w:sz w:val="32"/>
          <w:szCs w:val="32"/>
          <w:rtl/>
          <w:lang w:bidi="ar-DZ"/>
        </w:rPr>
      </w:pPr>
      <w:r>
        <w:rPr>
          <w:rFonts w:ascii="Sakkal Majalla" w:hAnsi="Sakkal Majalla" w:cs="Sakkal Majalla"/>
          <w:color w:val="000000"/>
          <w:sz w:val="32"/>
          <w:szCs w:val="32"/>
          <w:rtl/>
          <w:lang w:bidi="ar-DZ"/>
        </w:rPr>
        <w:t>ولقد فكر نقاد عصر النهضة في إيطاليا في النقد الأدبي على أسس تاريخية، وزاد من حدة هذا الاتجاه إعادة اكتشاف النصوص الإغريقية وإيقاظ النقاش من جديد بين الأفلاطونيين والأرسطيين، ويبدو أنه لم تحدث أية مقاربة منظمة للتاريخ ولكن الأرض مهدت بتزايد المعرفة بالنصوص الكبرى من النقد إبان القرن السادس عشر))</w:t>
      </w:r>
      <w:r>
        <w:rPr>
          <w:rStyle w:val="Appelnotedebasdep"/>
          <w:rFonts w:ascii="Sakkal Majalla" w:hAnsi="Sakkal Majalla" w:cs="Sakkal Majalla"/>
          <w:color w:val="000000"/>
          <w:sz w:val="32"/>
          <w:szCs w:val="32"/>
          <w:rtl/>
          <w:lang w:bidi="ar-DZ"/>
        </w:rPr>
        <w:footnoteReference w:id="6"/>
      </w:r>
      <w:r>
        <w:rPr>
          <w:rFonts w:ascii="Sakkal Majalla" w:hAnsi="Sakkal Majalla" w:cs="Sakkal Majalla"/>
          <w:color w:val="000000"/>
          <w:sz w:val="32"/>
          <w:szCs w:val="32"/>
          <w:rtl/>
          <w:lang w:bidi="ar-DZ"/>
        </w:rPr>
        <w:t>.</w:t>
      </w:r>
    </w:p>
    <w:p w:rsidR="004A55F2" w:rsidRDefault="004A55F2" w:rsidP="004A55F2">
      <w:pPr>
        <w:bidi/>
        <w:ind w:firstLine="397"/>
        <w:jc w:val="both"/>
        <w:rPr>
          <w:rFonts w:ascii="Sakkal Majalla" w:hAnsi="Sakkal Majalla" w:cs="Sakkal Majalla"/>
          <w:color w:val="000000"/>
          <w:sz w:val="32"/>
          <w:szCs w:val="32"/>
          <w:rtl/>
          <w:lang w:bidi="ar-DZ"/>
        </w:rPr>
      </w:pPr>
      <w:r>
        <w:rPr>
          <w:rFonts w:ascii="Sakkal Majalla" w:hAnsi="Sakkal Majalla" w:cs="Sakkal Majalla"/>
          <w:color w:val="000000"/>
          <w:sz w:val="32"/>
          <w:szCs w:val="32"/>
          <w:rtl/>
          <w:lang w:bidi="ar-DZ"/>
        </w:rPr>
        <w:t>لقد كانت هذه النظرية نتيجة البحث الفيلولوجي الذي كان عماده إحياء الكلاسيكية لإحداث التأثير في الراهن ((وهكذا تكون دراسة تاريخ النقد ثمرة من ثمار البحث الفيلولوجي (...) أي افتراض بأن النقاد القدامى يوفرون لنا، أو ينبغي أن يوفروا الأساس الأفضل لتفسير أدب عصرهم))</w:t>
      </w:r>
      <w:r>
        <w:rPr>
          <w:rStyle w:val="Appelnotedebasdep"/>
          <w:rFonts w:ascii="Sakkal Majalla" w:hAnsi="Sakkal Majalla" w:cs="Sakkal Majalla"/>
          <w:color w:val="000000"/>
          <w:sz w:val="32"/>
          <w:szCs w:val="32"/>
          <w:rtl/>
          <w:lang w:bidi="ar-DZ"/>
        </w:rPr>
        <w:footnoteReference w:id="7"/>
      </w:r>
      <w:r>
        <w:rPr>
          <w:rFonts w:ascii="Sakkal Majalla" w:hAnsi="Sakkal Majalla" w:cs="Sakkal Majalla"/>
          <w:color w:val="000000"/>
          <w:sz w:val="32"/>
          <w:szCs w:val="32"/>
          <w:rtl/>
          <w:lang w:bidi="ar-DZ"/>
        </w:rPr>
        <w:t>.</w:t>
      </w:r>
    </w:p>
    <w:p w:rsidR="004A55F2" w:rsidRDefault="004A55F2" w:rsidP="004A55F2">
      <w:pPr>
        <w:bidi/>
        <w:ind w:firstLine="397"/>
        <w:jc w:val="both"/>
        <w:rPr>
          <w:rFonts w:ascii="Sakkal Majalla" w:hAnsi="Sakkal Majalla" w:cs="Sakkal Majalla"/>
          <w:color w:val="000000"/>
          <w:sz w:val="32"/>
          <w:szCs w:val="32"/>
          <w:rtl/>
          <w:lang w:bidi="ar-DZ"/>
        </w:rPr>
      </w:pPr>
      <w:r>
        <w:rPr>
          <w:rFonts w:ascii="Sakkal Majalla" w:hAnsi="Sakkal Majalla" w:cs="Sakkal Majalla"/>
          <w:color w:val="000000"/>
          <w:sz w:val="32"/>
          <w:szCs w:val="32"/>
          <w:rtl/>
          <w:lang w:bidi="ar-DZ"/>
        </w:rPr>
        <w:t>لقد توافقت النظرة إلى الشعر مع نظرة العالم للفيلسوف، بل لعل ((التحدي الأعظم الذي يواجه أي شارح لنظرية أفلاطون في الشعر هو أن يتفهم عداءه المتصلب.</w:t>
      </w:r>
    </w:p>
    <w:p w:rsidR="004A55F2" w:rsidRDefault="004A55F2" w:rsidP="004A55F2">
      <w:pPr>
        <w:bidi/>
        <w:ind w:firstLine="397"/>
        <w:jc w:val="both"/>
        <w:rPr>
          <w:rFonts w:ascii="Sakkal Majalla" w:hAnsi="Sakkal Majalla" w:cs="Sakkal Majalla"/>
          <w:color w:val="000000"/>
          <w:sz w:val="32"/>
          <w:szCs w:val="32"/>
          <w:rtl/>
          <w:lang w:bidi="ar-DZ"/>
        </w:rPr>
      </w:pPr>
      <w:r>
        <w:rPr>
          <w:rFonts w:ascii="Sakkal Majalla" w:hAnsi="Sakkal Majalla" w:cs="Sakkal Majalla"/>
          <w:color w:val="000000"/>
          <w:sz w:val="32"/>
          <w:szCs w:val="32"/>
          <w:rtl/>
          <w:lang w:bidi="ar-DZ"/>
        </w:rPr>
        <w:t>على اعتبار أن الشارح عليه أن ينشد إخضاع المعايير الشعرية لمعايير فلسفية على مستوى التعبير والفهم، حيث إن الفلسفة كانت تتدخل في مكان الشعر))</w:t>
      </w:r>
      <w:r>
        <w:rPr>
          <w:rStyle w:val="Appelnotedebasdep"/>
          <w:rFonts w:ascii="Sakkal Majalla" w:hAnsi="Sakkal Majalla" w:cs="Sakkal Majalla"/>
          <w:color w:val="000000"/>
          <w:sz w:val="32"/>
          <w:szCs w:val="32"/>
          <w:rtl/>
          <w:lang w:bidi="ar-DZ"/>
        </w:rPr>
        <w:footnoteReference w:id="8"/>
      </w:r>
      <w:r>
        <w:rPr>
          <w:rFonts w:ascii="Sakkal Majalla" w:hAnsi="Sakkal Majalla" w:cs="Sakkal Majalla"/>
          <w:color w:val="000000"/>
          <w:sz w:val="32"/>
          <w:szCs w:val="32"/>
          <w:rtl/>
          <w:lang w:bidi="ar-DZ"/>
        </w:rPr>
        <w:t xml:space="preserve"> بل كان الشعر ناتجًا نقديًا متصاعدًا إلى عالم الملكوت/ عالم الجواهر.</w:t>
      </w:r>
    </w:p>
    <w:p w:rsidR="004A55F2" w:rsidRDefault="004A55F2" w:rsidP="004A55F2">
      <w:pPr>
        <w:bidi/>
        <w:ind w:firstLine="397"/>
        <w:jc w:val="both"/>
        <w:rPr>
          <w:rFonts w:ascii="Sakkal Majalla" w:hAnsi="Sakkal Majalla" w:cs="Sakkal Majalla"/>
          <w:color w:val="000000"/>
          <w:sz w:val="32"/>
          <w:szCs w:val="32"/>
          <w:rtl/>
          <w:lang w:bidi="ar-DZ"/>
        </w:rPr>
      </w:pPr>
      <w:r>
        <w:rPr>
          <w:rFonts w:ascii="Sakkal Majalla" w:hAnsi="Sakkal Majalla" w:cs="Sakkal Majalla"/>
          <w:color w:val="000000"/>
          <w:sz w:val="32"/>
          <w:szCs w:val="32"/>
          <w:rtl/>
          <w:lang w:bidi="ar-DZ"/>
        </w:rPr>
        <w:t>لذلك ))يرتبط موقف أفلاطون هذا بإدراكه لنظرية المحاكاة التي يتوسع فيها ويفسر بها حقائق الوجود ومظاهره، فعنده أن الحقيقة ليست في الظواهر الخاصة العابرة، ولكن في المثل والصور الخالصة لكل أنواع الوجود.</w:t>
      </w:r>
      <w:r>
        <w:rPr>
          <w:rStyle w:val="Appelnotedebasdep"/>
          <w:rFonts w:ascii="Sakkal Majalla" w:hAnsi="Sakkal Majalla" w:cs="Sakkal Majalla"/>
          <w:color w:val="000000"/>
          <w:sz w:val="32"/>
          <w:szCs w:val="32"/>
          <w:rtl/>
          <w:lang w:bidi="ar-DZ"/>
        </w:rPr>
        <w:footnoteReference w:id="9"/>
      </w:r>
    </w:p>
    <w:p w:rsidR="004A55F2" w:rsidRDefault="004A55F2" w:rsidP="004A55F2">
      <w:pPr>
        <w:bidi/>
        <w:ind w:firstLine="397"/>
        <w:jc w:val="both"/>
        <w:rPr>
          <w:rFonts w:ascii="Sakkal Majalla" w:hAnsi="Sakkal Majalla" w:cs="Sakkal Majalla"/>
          <w:color w:val="000000"/>
          <w:sz w:val="32"/>
          <w:szCs w:val="32"/>
          <w:rtl/>
          <w:lang w:bidi="ar-DZ"/>
        </w:rPr>
      </w:pPr>
      <w:r>
        <w:rPr>
          <w:rFonts w:ascii="Sakkal Majalla" w:hAnsi="Sakkal Majalla" w:cs="Sakkal Majalla"/>
          <w:color w:val="000000"/>
          <w:sz w:val="32"/>
          <w:szCs w:val="32"/>
          <w:rtl/>
          <w:lang w:bidi="ar-DZ"/>
        </w:rPr>
        <w:lastRenderedPageBreak/>
        <w:t>فالنظرية الأدبية عند الفلاسفة هي ناتجة عن التأويل النقدي، ومستخلصة من مراجعاته وأصبح النقد أسا مهما لأي مشروع يريد أن يُصير عملة للتداول بين الباحثين. ولا زالت نظرية الشعر هي الأساس الذي قامت عليه المنظوريات</w:t>
      </w:r>
      <w:r>
        <w:rPr>
          <w:rFonts w:ascii="Sakkal Majalla" w:hAnsi="Sakkal Majalla" w:cs="Sakkal Majalla"/>
          <w:color w:val="000000"/>
          <w:sz w:val="32"/>
          <w:szCs w:val="32"/>
          <w:lang w:bidi="ar-DZ"/>
        </w:rPr>
        <w:t xml:space="preserve"> Perspective</w:t>
      </w:r>
      <w:r>
        <w:rPr>
          <w:rFonts w:ascii="Sakkal Majalla" w:hAnsi="Sakkal Majalla" w:cs="Sakkal Majalla"/>
          <w:color w:val="000000"/>
          <w:sz w:val="32"/>
          <w:szCs w:val="32"/>
          <w:rtl/>
          <w:lang w:bidi="ar-DZ"/>
        </w:rPr>
        <w:t>التي قامت ردًا وجذبًا.</w:t>
      </w:r>
    </w:p>
    <w:p w:rsidR="004A55F2" w:rsidRDefault="004A55F2" w:rsidP="004A55F2">
      <w:pPr>
        <w:bidi/>
        <w:ind w:firstLine="397"/>
        <w:jc w:val="both"/>
        <w:rPr>
          <w:rFonts w:ascii="Sakkal Majalla" w:hAnsi="Sakkal Majalla" w:cs="Sakkal Majalla"/>
          <w:color w:val="000000"/>
          <w:sz w:val="32"/>
          <w:szCs w:val="32"/>
          <w:rtl/>
          <w:lang w:bidi="ar-DZ"/>
        </w:rPr>
      </w:pPr>
      <w:r>
        <w:rPr>
          <w:rFonts w:ascii="Sakkal Majalla" w:hAnsi="Sakkal Majalla" w:cs="Sakkal Majalla"/>
          <w:color w:val="000000"/>
          <w:sz w:val="32"/>
          <w:szCs w:val="32"/>
          <w:rtl/>
          <w:lang w:bidi="ar-DZ"/>
        </w:rPr>
        <w:t>فمن سقراط الذي رفض الشعر كونه مفسدًا لأخلاق الشباب، إلى أفلاطون الذي جعله في عالم الإيهام المطلق، إلى أرسطو الذي عرض بأفكار من سبقوه وثار على فكرة عالم الجواهر، وقلب نموذج أستاذه وجعله يمشي على رأسه حين رد الأمور إلى نصابها في كتابه الشهير ((نظرية الشعر)) الذي تأثر به الفلاسفة الإسلاميون وكتبوا عليه ملخصاتهم وشروحهم من بينها تلخيصات؛ الكندي والفارابي وابن سينا وابن رشد، وأصبح الشعر عندهم مقوم فلسفتهم إلى الحياة، لأنه المعاضد عن مناهجهم، والقائم في طرق فهمهم للظاهرة. وتأصل وعيهم بالظاهرة الشعرية من خلال تمكينهم للأصول النقدية التي قامت منهجا بين المنظرين والباحثين.</w:t>
      </w:r>
    </w:p>
    <w:p w:rsidR="004A55F2" w:rsidRDefault="004A55F2" w:rsidP="004A55F2">
      <w:pPr>
        <w:bidi/>
        <w:ind w:firstLine="397"/>
        <w:jc w:val="both"/>
        <w:rPr>
          <w:rFonts w:ascii="Sakkal Majalla" w:hAnsi="Sakkal Majalla" w:cs="Sakkal Majalla"/>
          <w:color w:val="000000"/>
          <w:sz w:val="32"/>
          <w:szCs w:val="32"/>
          <w:rtl/>
          <w:lang w:bidi="ar-DZ"/>
        </w:rPr>
      </w:pPr>
      <w:r>
        <w:rPr>
          <w:rFonts w:ascii="Sakkal Majalla" w:hAnsi="Sakkal Majalla" w:cs="Sakkal Majalla"/>
          <w:color w:val="000000"/>
          <w:sz w:val="32"/>
          <w:szCs w:val="32"/>
          <w:rtl/>
          <w:lang w:bidi="ar-DZ"/>
        </w:rPr>
        <w:t>بل لم يهدأ هذا الحوار الداخلي في منظومة التفاعل النقدي الغربي، وصولًا إلى الثورة النقدية التي أحدثتها طروحات الشكلانيين الروس، حيث يقول يوسف وغليسي: ((لم تكن الشكلانية الروسية تمهيدا لنشأة البنيوية وحسب، بل كانت مسقط رأس علوم أخرى وثيقة الصلة بالبنيوية والسيمائية كالشعرية والسردية، ولشدة ارتباط هذه الشكلانية بالفكر البنيوي لم يعد من الغرابة في شيء أن نجد بعض الدراسات تنعتها باسم البنيوية السوفياتية))</w:t>
      </w:r>
      <w:r>
        <w:rPr>
          <w:rStyle w:val="Appelnotedebasdep"/>
          <w:rFonts w:ascii="Sakkal Majalla" w:hAnsi="Sakkal Majalla" w:cs="Sakkal Majalla"/>
          <w:color w:val="000000"/>
          <w:sz w:val="32"/>
          <w:szCs w:val="32"/>
          <w:rtl/>
          <w:lang w:bidi="ar-DZ"/>
        </w:rPr>
        <w:footnoteReference w:id="10"/>
      </w:r>
      <w:r>
        <w:rPr>
          <w:rFonts w:ascii="Sakkal Majalla" w:hAnsi="Sakkal Majalla" w:cs="Sakkal Majalla"/>
          <w:color w:val="000000"/>
          <w:sz w:val="32"/>
          <w:szCs w:val="32"/>
          <w:rtl/>
          <w:lang w:bidi="ar-DZ"/>
        </w:rPr>
        <w:t>.</w:t>
      </w:r>
    </w:p>
    <w:p w:rsidR="004A55F2" w:rsidRDefault="004A55F2" w:rsidP="004A55F2">
      <w:pPr>
        <w:bidi/>
        <w:ind w:firstLine="397"/>
        <w:jc w:val="both"/>
        <w:rPr>
          <w:rFonts w:ascii="Sakkal Majalla" w:hAnsi="Sakkal Majalla" w:cs="Sakkal Majalla"/>
          <w:color w:val="000000"/>
          <w:sz w:val="32"/>
          <w:szCs w:val="32"/>
          <w:rtl/>
          <w:lang w:bidi="ar-DZ"/>
        </w:rPr>
      </w:pPr>
      <w:r>
        <w:rPr>
          <w:rFonts w:ascii="Sakkal Majalla" w:hAnsi="Sakkal Majalla" w:cs="Sakkal Majalla"/>
          <w:color w:val="000000"/>
          <w:sz w:val="32"/>
          <w:szCs w:val="32"/>
          <w:rtl/>
          <w:lang w:bidi="ar-DZ"/>
        </w:rPr>
        <w:t>ولقد قامت الشكلانية الروسية على تعاضد حركتين علميتين هما حلقة موسكو (1915- 1920) وجماعة الأبوياز</w:t>
      </w:r>
      <w:r>
        <w:rPr>
          <w:rFonts w:ascii="Sakkal Majalla" w:hAnsi="Sakkal Majalla" w:cs="Sakkal Majalla"/>
          <w:color w:val="000000"/>
          <w:sz w:val="32"/>
          <w:szCs w:val="32"/>
          <w:lang w:bidi="ar-DZ"/>
        </w:rPr>
        <w:t xml:space="preserve"> (1916 </w:t>
      </w:r>
      <w:proofErr w:type="spellStart"/>
      <w:r>
        <w:rPr>
          <w:rFonts w:ascii="Sakkal Majalla" w:hAnsi="Sakkal Majalla" w:cs="Sakkal Majalla"/>
          <w:color w:val="000000"/>
          <w:sz w:val="32"/>
          <w:szCs w:val="32"/>
          <w:lang w:bidi="ar-DZ"/>
        </w:rPr>
        <w:t>Opojoz</w:t>
      </w:r>
      <w:proofErr w:type="spellEnd"/>
      <w:r>
        <w:rPr>
          <w:rFonts w:ascii="Sakkal Majalla" w:hAnsi="Sakkal Majalla" w:cs="Sakkal Majalla"/>
          <w:color w:val="000000"/>
          <w:sz w:val="32"/>
          <w:szCs w:val="32"/>
          <w:lang w:bidi="ar-DZ"/>
        </w:rPr>
        <w:t>)</w:t>
      </w:r>
      <w:r>
        <w:rPr>
          <w:rFonts w:ascii="Sakkal Majalla" w:hAnsi="Sakkal Majalla" w:cs="Sakkal Majalla"/>
          <w:color w:val="000000"/>
          <w:sz w:val="32"/>
          <w:szCs w:val="32"/>
          <w:rtl/>
          <w:lang w:bidi="ar-DZ"/>
        </w:rPr>
        <w:t>مع العلم أن الشكلانيين لم يعبؤوا كثيرًا بهذا المصطلح كما قال ايخنباوم ((لسنا شكلانيين، إننا بالأحرى تمييزيون))</w:t>
      </w:r>
      <w:r>
        <w:rPr>
          <w:rStyle w:val="Appelnotedebasdep"/>
          <w:rFonts w:ascii="Sakkal Majalla" w:hAnsi="Sakkal Majalla" w:cs="Sakkal Majalla"/>
          <w:color w:val="000000"/>
          <w:sz w:val="32"/>
          <w:szCs w:val="32"/>
          <w:rtl/>
          <w:lang w:bidi="ar-DZ"/>
        </w:rPr>
        <w:footnoteReference w:id="11"/>
      </w:r>
      <w:r>
        <w:rPr>
          <w:rFonts w:ascii="Sakkal Majalla" w:hAnsi="Sakkal Majalla" w:cs="Sakkal Majalla"/>
          <w:color w:val="000000"/>
          <w:sz w:val="32"/>
          <w:szCs w:val="32"/>
          <w:rtl/>
          <w:lang w:bidi="ar-DZ"/>
        </w:rPr>
        <w:t>، وقد دفع الطرح الشكلاني الدرس النقدي إلى أن يصبح له دفع خاص تبلور في العموم حول جملة من الإشكاليات الفنية والأدبية التي عالجتها المدرسة الشكلانية وهي في عمومها أطروحتان أساسيتان:</w:t>
      </w:r>
    </w:p>
    <w:p w:rsidR="004A55F2" w:rsidRDefault="004A55F2" w:rsidP="004A55F2">
      <w:pPr>
        <w:bidi/>
        <w:ind w:firstLine="397"/>
        <w:jc w:val="both"/>
        <w:rPr>
          <w:rFonts w:ascii="Sakkal Majalla" w:hAnsi="Sakkal Majalla" w:cs="Sakkal Majalla"/>
          <w:color w:val="000000"/>
          <w:sz w:val="32"/>
          <w:szCs w:val="32"/>
          <w:rtl/>
          <w:lang w:bidi="ar-DZ"/>
        </w:rPr>
      </w:pPr>
      <w:r>
        <w:rPr>
          <w:rFonts w:ascii="Sakkal Majalla" w:hAnsi="Sakkal Majalla" w:cs="Sakkal Majalla"/>
          <w:color w:val="000000"/>
          <w:sz w:val="32"/>
          <w:szCs w:val="32"/>
          <w:rtl/>
          <w:lang w:bidi="ar-DZ"/>
        </w:rPr>
        <w:t>- ((تشديدهم على الأثر الأدبي وأجزائه المكونة.</w:t>
      </w:r>
    </w:p>
    <w:p w:rsidR="004A55F2" w:rsidRDefault="004A55F2" w:rsidP="004A55F2">
      <w:pPr>
        <w:bidi/>
        <w:ind w:firstLine="397"/>
        <w:jc w:val="both"/>
        <w:rPr>
          <w:rFonts w:ascii="Sakkal Majalla" w:hAnsi="Sakkal Majalla" w:cs="Sakkal Majalla"/>
          <w:color w:val="000000"/>
          <w:sz w:val="32"/>
          <w:szCs w:val="32"/>
          <w:rtl/>
          <w:lang w:bidi="ar-DZ"/>
        </w:rPr>
      </w:pPr>
      <w:r>
        <w:rPr>
          <w:rFonts w:ascii="Sakkal Majalla" w:hAnsi="Sakkal Majalla" w:cs="Sakkal Majalla"/>
          <w:color w:val="000000"/>
          <w:sz w:val="32"/>
          <w:szCs w:val="32"/>
          <w:rtl/>
          <w:lang w:bidi="ar-DZ"/>
        </w:rPr>
        <w:lastRenderedPageBreak/>
        <w:t>- إلحاحهم على استقلال علم الأدب))</w:t>
      </w:r>
      <w:r>
        <w:rPr>
          <w:rStyle w:val="Appelnotedebasdep"/>
          <w:rFonts w:ascii="Sakkal Majalla" w:hAnsi="Sakkal Majalla" w:cs="Sakkal Majalla"/>
          <w:color w:val="000000"/>
          <w:sz w:val="32"/>
          <w:szCs w:val="32"/>
          <w:rtl/>
          <w:lang w:bidi="ar-DZ"/>
        </w:rPr>
        <w:footnoteReference w:id="12"/>
      </w:r>
      <w:r>
        <w:rPr>
          <w:rFonts w:ascii="Sakkal Majalla" w:hAnsi="Sakkal Majalla" w:cs="Sakkal Majalla"/>
          <w:color w:val="000000"/>
          <w:sz w:val="32"/>
          <w:szCs w:val="32"/>
          <w:rtl/>
          <w:lang w:bidi="ar-DZ"/>
        </w:rPr>
        <w:t>.</w:t>
      </w:r>
    </w:p>
    <w:p w:rsidR="004A55F2" w:rsidRDefault="004A55F2" w:rsidP="004A55F2">
      <w:pPr>
        <w:bidi/>
        <w:ind w:firstLine="397"/>
        <w:jc w:val="both"/>
        <w:rPr>
          <w:rFonts w:ascii="Sakkal Majalla" w:hAnsi="Sakkal Majalla" w:cs="Sakkal Majalla"/>
          <w:color w:val="000000"/>
          <w:sz w:val="32"/>
          <w:szCs w:val="32"/>
          <w:rtl/>
          <w:lang w:bidi="ar-DZ"/>
        </w:rPr>
      </w:pPr>
      <w:r>
        <w:rPr>
          <w:rFonts w:ascii="Sakkal Majalla" w:hAnsi="Sakkal Majalla" w:cs="Sakkal Majalla"/>
          <w:color w:val="000000"/>
          <w:sz w:val="32"/>
          <w:szCs w:val="32"/>
          <w:rtl/>
          <w:lang w:bidi="ar-DZ"/>
        </w:rPr>
        <w:t>ولقد تعرضت الشكلانية الروسية لنقد لاذع من قبل المناوئين لها كحركة، لأنها لم تؤمن بأن يكون الأدب فيضًا من روح المؤلف، أو وثيقة تاريخية اجتماعية، أو تجَليًا لمنظومة فلسفية.</w:t>
      </w:r>
    </w:p>
    <w:p w:rsidR="004A55F2" w:rsidRDefault="004A55F2" w:rsidP="004A55F2">
      <w:pPr>
        <w:bidi/>
        <w:ind w:firstLine="397"/>
        <w:jc w:val="both"/>
        <w:rPr>
          <w:rFonts w:ascii="Sakkal Majalla" w:hAnsi="Sakkal Majalla" w:cs="Sakkal Majalla"/>
          <w:color w:val="000000"/>
          <w:sz w:val="32"/>
          <w:szCs w:val="32"/>
          <w:rtl/>
          <w:lang w:bidi="ar-DZ"/>
        </w:rPr>
      </w:pPr>
      <w:r>
        <w:rPr>
          <w:rFonts w:ascii="Sakkal Majalla" w:hAnsi="Sakkal Majalla" w:cs="Sakkal Majalla"/>
          <w:color w:val="000000"/>
          <w:sz w:val="32"/>
          <w:szCs w:val="32"/>
          <w:rtl/>
          <w:lang w:bidi="ar-DZ"/>
        </w:rPr>
        <w:t>ولعل هذا الافتقار هو الذي أضعف الحراك النقدي للمساءلات الكبرى لرواد هذه المدرسة فيما يرى شتاينر ((فالدراسة الأدبية لكي تتناول مادتها بشكل ملائم، لابد أن تنطلق من وجهة نظر فلسفية محددة جيدًا، ويعلن ميدفيديف بسعادة أن وجهة النظر الفلسفية هذه هي الماركسية))</w:t>
      </w:r>
      <w:r>
        <w:rPr>
          <w:rStyle w:val="Appelnotedebasdep"/>
          <w:rFonts w:ascii="Sakkal Majalla" w:hAnsi="Sakkal Majalla" w:cs="Sakkal Majalla"/>
          <w:color w:val="000000"/>
          <w:sz w:val="32"/>
          <w:szCs w:val="32"/>
          <w:rtl/>
          <w:lang w:bidi="ar-DZ"/>
        </w:rPr>
        <w:footnoteReference w:id="13"/>
      </w:r>
      <w:r>
        <w:rPr>
          <w:rFonts w:ascii="Sakkal Majalla" w:hAnsi="Sakkal Majalla" w:cs="Sakkal Majalla"/>
          <w:color w:val="000000"/>
          <w:sz w:val="32"/>
          <w:szCs w:val="32"/>
          <w:rtl/>
          <w:lang w:bidi="ar-DZ"/>
        </w:rPr>
        <w:t>، ويرى عديد الدارسين أن الشكلانية الروسية رفعت شعارًا مهما هو علمنة الدراسة الأدبية</w:t>
      </w:r>
      <w:r>
        <w:rPr>
          <w:rStyle w:val="Appelnotedebasdep"/>
          <w:rFonts w:ascii="Sakkal Majalla" w:hAnsi="Sakkal Majalla" w:cs="Sakkal Majalla"/>
          <w:color w:val="000000"/>
          <w:sz w:val="32"/>
          <w:szCs w:val="32"/>
          <w:rtl/>
          <w:lang w:bidi="ar-DZ"/>
        </w:rPr>
        <w:footnoteReference w:id="14"/>
      </w:r>
      <w:r>
        <w:rPr>
          <w:rFonts w:ascii="Sakkal Majalla" w:hAnsi="Sakkal Majalla" w:cs="Sakkal Majalla"/>
          <w:color w:val="000000"/>
          <w:sz w:val="32"/>
          <w:szCs w:val="32"/>
          <w:rtl/>
          <w:lang w:bidi="ar-DZ"/>
        </w:rPr>
        <w:t>.</w:t>
      </w:r>
    </w:p>
    <w:p w:rsidR="004A55F2" w:rsidRDefault="004A55F2" w:rsidP="004A55F2">
      <w:pPr>
        <w:bidi/>
        <w:ind w:firstLine="397"/>
        <w:jc w:val="both"/>
        <w:rPr>
          <w:rFonts w:ascii="Sakkal Majalla" w:hAnsi="Sakkal Majalla" w:cs="Sakkal Majalla"/>
          <w:color w:val="000000"/>
          <w:sz w:val="32"/>
          <w:szCs w:val="32"/>
          <w:rtl/>
          <w:lang w:bidi="ar-DZ"/>
        </w:rPr>
      </w:pPr>
      <w:r>
        <w:rPr>
          <w:rFonts w:ascii="Sakkal Majalla" w:hAnsi="Sakkal Majalla" w:cs="Sakkal Majalla"/>
          <w:color w:val="000000"/>
          <w:sz w:val="32"/>
          <w:szCs w:val="32"/>
          <w:rtl/>
          <w:lang w:bidi="ar-DZ"/>
        </w:rPr>
        <w:t>ولقد استطاعت الحركة النقدية أن تراجع مخزونها وإرثها لتتجاوز المقولات التقليدية، وبالتالي كان الحراك النقدي عند الغرب يبين أساسًا على إصلاح العقل/ الآلة، والنظر، المنهج، ومن ثمة إلحاق كل هذا بإعادة رسم النظرية.</w:t>
      </w:r>
    </w:p>
    <w:p w:rsidR="004A55F2" w:rsidRDefault="004A55F2" w:rsidP="004A55F2">
      <w:pPr>
        <w:bidi/>
        <w:ind w:firstLine="397"/>
        <w:jc w:val="both"/>
        <w:rPr>
          <w:rFonts w:ascii="Sakkal Majalla" w:hAnsi="Sakkal Majalla" w:cs="Sakkal Majalla"/>
          <w:color w:val="000000"/>
          <w:sz w:val="32"/>
          <w:szCs w:val="32"/>
          <w:rtl/>
          <w:lang w:bidi="ar-DZ"/>
        </w:rPr>
      </w:pPr>
      <w:r>
        <w:rPr>
          <w:rFonts w:ascii="Sakkal Majalla" w:hAnsi="Sakkal Majalla" w:cs="Sakkal Majalla"/>
          <w:color w:val="000000"/>
          <w:sz w:val="32"/>
          <w:szCs w:val="32"/>
          <w:rtl/>
          <w:lang w:bidi="ar-DZ"/>
        </w:rPr>
        <w:t>وهذه الحقيقة تسبقها في النقد الغربي كُليَّةُ إصلاح النظرية، ولعل هذا ما سارعت إليه المدرسة الشكلانية من تجاوزها للنسق الفيلولوجي وتبعتها في هذا البنوية</w:t>
      </w:r>
      <w:r>
        <w:rPr>
          <w:rStyle w:val="Appelnotedebasdep"/>
          <w:rFonts w:ascii="Sakkal Majalla" w:hAnsi="Sakkal Majalla" w:cs="Sakkal Majalla"/>
          <w:color w:val="000000"/>
          <w:sz w:val="32"/>
          <w:szCs w:val="32"/>
          <w:lang w:bidi="ar-DZ"/>
        </w:rPr>
        <w:footnoteReference w:customMarkFollows="1" w:id="15"/>
        <w:t>*</w:t>
      </w:r>
      <w:r>
        <w:rPr>
          <w:rFonts w:ascii="Sakkal Majalla" w:hAnsi="Sakkal Majalla" w:cs="Sakkal Majalla"/>
          <w:color w:val="000000"/>
          <w:sz w:val="32"/>
          <w:szCs w:val="32"/>
          <w:rtl/>
          <w:lang w:bidi="ar-DZ"/>
        </w:rPr>
        <w:t xml:space="preserve"> من كونها نظرًا فلسفيًا عميقًا للإنسان والكون، وهو جدل متراكم داخل العقل الغربي المسكون بالميتافيزيقا، وكانت البنيوية إشعارا بهذا الارتحال المعرفي الخطير منذ أعلن نيتشه قتل الإله.</w:t>
      </w:r>
    </w:p>
    <w:p w:rsidR="004A55F2" w:rsidRDefault="004A55F2" w:rsidP="004A55F2">
      <w:pPr>
        <w:bidi/>
        <w:ind w:firstLine="397"/>
        <w:jc w:val="both"/>
        <w:rPr>
          <w:rFonts w:ascii="Sakkal Majalla" w:hAnsi="Sakkal Majalla" w:cs="Sakkal Majalla"/>
          <w:color w:val="000000"/>
          <w:sz w:val="32"/>
          <w:szCs w:val="32"/>
          <w:rtl/>
          <w:lang w:bidi="ar-DZ"/>
        </w:rPr>
      </w:pPr>
      <w:r>
        <w:rPr>
          <w:rFonts w:ascii="Sakkal Majalla" w:hAnsi="Sakkal Majalla" w:cs="Sakkal Majalla"/>
          <w:color w:val="000000"/>
          <w:sz w:val="32"/>
          <w:szCs w:val="32"/>
          <w:rtl/>
          <w:lang w:bidi="ar-DZ"/>
        </w:rPr>
        <w:lastRenderedPageBreak/>
        <w:t>((وكان هذا الإعلان بمثابة كشف منذ ذلك الحين عن وحدة الإنسان، لأن القول بموت الله يعدل القول بأن الإنسان وحيد في العالم. لكن توكيد نيتشه يذهب إلى أبعد من ذلك فما ينفيه هو وجود مغاير في أي شكل كان))</w:t>
      </w:r>
      <w:r>
        <w:rPr>
          <w:rStyle w:val="Appelnotedebasdep"/>
          <w:rFonts w:ascii="Sakkal Majalla" w:hAnsi="Sakkal Majalla" w:cs="Sakkal Majalla"/>
          <w:color w:val="000000"/>
          <w:sz w:val="32"/>
          <w:szCs w:val="32"/>
          <w:rtl/>
          <w:lang w:bidi="ar-DZ"/>
        </w:rPr>
        <w:footnoteReference w:id="16"/>
      </w:r>
      <w:r>
        <w:rPr>
          <w:rFonts w:ascii="Sakkal Majalla" w:hAnsi="Sakkal Majalla" w:cs="Sakkal Majalla"/>
          <w:color w:val="000000"/>
          <w:sz w:val="32"/>
          <w:szCs w:val="32"/>
          <w:rtl/>
          <w:lang w:bidi="ar-DZ"/>
        </w:rPr>
        <w:t>.</w:t>
      </w:r>
    </w:p>
    <w:p w:rsidR="004A55F2" w:rsidRDefault="004A55F2" w:rsidP="004A55F2">
      <w:pPr>
        <w:bidi/>
        <w:ind w:firstLine="397"/>
        <w:jc w:val="both"/>
        <w:rPr>
          <w:rFonts w:ascii="Sakkal Majalla" w:hAnsi="Sakkal Majalla" w:cs="Sakkal Majalla"/>
          <w:color w:val="000000"/>
          <w:sz w:val="32"/>
          <w:szCs w:val="32"/>
          <w:rtl/>
          <w:lang w:bidi="ar-DZ"/>
        </w:rPr>
      </w:pPr>
      <w:r>
        <w:rPr>
          <w:rFonts w:ascii="Sakkal Majalla" w:hAnsi="Sakkal Majalla" w:cs="Sakkal Majalla"/>
          <w:color w:val="000000"/>
          <w:sz w:val="32"/>
          <w:szCs w:val="32"/>
          <w:rtl/>
          <w:lang w:bidi="ar-DZ"/>
        </w:rPr>
        <w:t>حصل القتل المضاعف</w:t>
      </w:r>
      <w:r>
        <w:rPr>
          <w:rStyle w:val="Appelnotedebasdep"/>
          <w:rFonts w:ascii="Sakkal Majalla" w:hAnsi="Sakkal Majalla" w:cs="Sakkal Majalla"/>
          <w:color w:val="000000"/>
          <w:sz w:val="32"/>
          <w:szCs w:val="32"/>
          <w:lang w:bidi="ar-DZ"/>
        </w:rPr>
        <w:footnoteReference w:customMarkFollows="1" w:id="17"/>
        <w:t>*</w:t>
      </w:r>
      <w:r>
        <w:rPr>
          <w:rFonts w:ascii="Sakkal Majalla" w:hAnsi="Sakkal Majalla" w:cs="Sakkal Majalla"/>
          <w:color w:val="000000"/>
          <w:sz w:val="32"/>
          <w:szCs w:val="32"/>
          <w:rtl/>
          <w:lang w:bidi="ar-DZ"/>
        </w:rPr>
        <w:t>في الثقافة الغربية لتصبح البنيوية بنيويات، انطلاقًا من البنيوية اللغوية التي أرسى قواعدها فردينان دي سوسير من خلال الدروس التي ألقاها، وجمعت في كتابه المهم ((محاضرات في الألسنية العامة)) هذا الكتاب الذي عرف ترجمات مختلفة إلى اللغة العربية، إلى الأنتثربولوجيا البنيوية مع كلود ليفي شتراوس، إلى البنيوية السيكولوجية مع جاك لاكان</w:t>
      </w:r>
      <w:r>
        <w:rPr>
          <w:rStyle w:val="Appelnotedebasdep"/>
          <w:rFonts w:ascii="Sakkal Majalla" w:hAnsi="Sakkal Majalla" w:cs="Sakkal Majalla"/>
          <w:color w:val="000000"/>
          <w:sz w:val="32"/>
          <w:szCs w:val="32"/>
          <w:rtl/>
          <w:lang w:bidi="ar-DZ"/>
        </w:rPr>
        <w:footnoteReference w:id="18"/>
      </w:r>
      <w:r>
        <w:rPr>
          <w:rFonts w:ascii="Sakkal Majalla" w:hAnsi="Sakkal Majalla" w:cs="Sakkal Majalla"/>
          <w:color w:val="000000"/>
          <w:sz w:val="32"/>
          <w:szCs w:val="32"/>
          <w:rtl/>
          <w:lang w:bidi="ar-DZ"/>
        </w:rPr>
        <w:t>.</w:t>
      </w:r>
    </w:p>
    <w:p w:rsidR="004A55F2" w:rsidRDefault="004A55F2" w:rsidP="004A55F2">
      <w:pPr>
        <w:bidi/>
        <w:ind w:firstLine="397"/>
        <w:jc w:val="both"/>
        <w:rPr>
          <w:rFonts w:ascii="Sakkal Majalla" w:hAnsi="Sakkal Majalla" w:cs="Sakkal Majalla"/>
          <w:color w:val="000000"/>
          <w:sz w:val="32"/>
          <w:szCs w:val="32"/>
          <w:rtl/>
          <w:lang w:bidi="ar-DZ"/>
        </w:rPr>
      </w:pPr>
      <w:r>
        <w:rPr>
          <w:rFonts w:ascii="Sakkal Majalla" w:hAnsi="Sakkal Majalla" w:cs="Sakkal Majalla"/>
          <w:color w:val="000000"/>
          <w:sz w:val="32"/>
          <w:szCs w:val="32"/>
          <w:rtl/>
          <w:lang w:bidi="ar-DZ"/>
        </w:rPr>
        <w:t>لذلك فمصطلح البنيوية مصطلح محيرٌ وتحديده يضعنا في أس المطارحة البنيوية أو الإشكالية البنيوية. وفي هذا يقول عمر مهيبل: ((عندما نتحدث عن البنيوية من الضروري أن نقوم بعملية تحديد أولية تتمثل في الفصل بين البنيوية بوصفها منهجًا، وبين البنيوية بوضعها مذهبًا فلسفيًا يتوخى الشمولية في تفسيراته ويستخدم تجليات العقل في المجالات المتباينة، وهذا يؤدي إلى نتيجة مبدئية وهي أن البنيوية منهج قديم))</w:t>
      </w:r>
      <w:r>
        <w:rPr>
          <w:rStyle w:val="Appelnotedebasdep"/>
          <w:rFonts w:ascii="Sakkal Majalla" w:hAnsi="Sakkal Majalla" w:cs="Sakkal Majalla"/>
          <w:color w:val="000000"/>
          <w:sz w:val="32"/>
          <w:szCs w:val="32"/>
          <w:rtl/>
          <w:lang w:bidi="ar-DZ"/>
        </w:rPr>
        <w:footnoteReference w:id="19"/>
      </w:r>
      <w:r>
        <w:rPr>
          <w:rFonts w:ascii="Sakkal Majalla" w:hAnsi="Sakkal Majalla" w:cs="Sakkal Majalla"/>
          <w:color w:val="000000"/>
          <w:sz w:val="32"/>
          <w:szCs w:val="32"/>
          <w:rtl/>
          <w:lang w:bidi="ar-DZ"/>
        </w:rPr>
        <w:t>.</w:t>
      </w:r>
    </w:p>
    <w:p w:rsidR="004A55F2" w:rsidRDefault="004A55F2" w:rsidP="004A55F2">
      <w:pPr>
        <w:bidi/>
        <w:spacing w:before="120" w:after="120"/>
        <w:ind w:firstLine="567"/>
        <w:rPr>
          <w:rFonts w:ascii="Traditional Arabic" w:hAnsi="Traditional Arabic" w:cs="Traditional Arabic"/>
          <w:b/>
          <w:bCs/>
          <w:sz w:val="34"/>
          <w:szCs w:val="34"/>
          <w:rtl/>
          <w:lang w:bidi="ar-DZ"/>
        </w:rPr>
      </w:pPr>
    </w:p>
    <w:p w:rsidR="004A55F2" w:rsidRDefault="004A55F2" w:rsidP="004A55F2">
      <w:pPr>
        <w:bidi/>
        <w:spacing w:before="120" w:after="120"/>
        <w:ind w:firstLine="567"/>
        <w:rPr>
          <w:rFonts w:ascii="Traditional Arabic" w:hAnsi="Traditional Arabic" w:cs="Traditional Arabic"/>
          <w:b/>
          <w:bCs/>
          <w:sz w:val="34"/>
          <w:szCs w:val="34"/>
          <w:rtl/>
          <w:lang w:bidi="ar-DZ"/>
        </w:rPr>
      </w:pPr>
    </w:p>
    <w:p w:rsidR="004A55F2" w:rsidRDefault="004A55F2" w:rsidP="004A55F2">
      <w:pPr>
        <w:bidi/>
        <w:spacing w:before="120" w:after="120"/>
        <w:ind w:firstLine="567"/>
        <w:rPr>
          <w:rFonts w:ascii="Traditional Arabic" w:hAnsi="Traditional Arabic" w:cs="Traditional Arabic"/>
          <w:b/>
          <w:bCs/>
          <w:sz w:val="34"/>
          <w:szCs w:val="34"/>
          <w:rtl/>
          <w:lang w:bidi="ar-DZ"/>
        </w:rPr>
      </w:pPr>
    </w:p>
    <w:p w:rsidR="004A55F2" w:rsidRDefault="004A55F2" w:rsidP="004A55F2">
      <w:pPr>
        <w:bidi/>
        <w:spacing w:before="120" w:after="120"/>
        <w:ind w:firstLine="567"/>
        <w:rPr>
          <w:rFonts w:ascii="Traditional Arabic" w:hAnsi="Traditional Arabic" w:cs="Traditional Arabic"/>
          <w:b/>
          <w:bCs/>
          <w:sz w:val="34"/>
          <w:szCs w:val="34"/>
          <w:rtl/>
          <w:lang w:bidi="ar-DZ"/>
        </w:rPr>
      </w:pPr>
    </w:p>
    <w:p w:rsidR="004A55F2" w:rsidRDefault="004A55F2" w:rsidP="004A55F2">
      <w:pPr>
        <w:bidi/>
        <w:spacing w:before="120" w:after="120"/>
        <w:ind w:firstLine="567"/>
        <w:rPr>
          <w:rFonts w:ascii="Traditional Arabic" w:hAnsi="Traditional Arabic" w:cs="Traditional Arabic"/>
          <w:b/>
          <w:bCs/>
          <w:sz w:val="34"/>
          <w:szCs w:val="34"/>
          <w:rtl/>
          <w:lang w:bidi="ar-DZ"/>
        </w:rPr>
      </w:pPr>
    </w:p>
    <w:p w:rsidR="004A55F2" w:rsidRDefault="004A55F2" w:rsidP="004A55F2">
      <w:pPr>
        <w:bidi/>
        <w:spacing w:before="120" w:after="120"/>
        <w:ind w:firstLine="567"/>
        <w:rPr>
          <w:rFonts w:ascii="Traditional Arabic" w:hAnsi="Traditional Arabic" w:cs="Traditional Arabic"/>
          <w:b/>
          <w:bCs/>
          <w:sz w:val="34"/>
          <w:szCs w:val="34"/>
          <w:rtl/>
          <w:lang w:bidi="ar-DZ"/>
        </w:rPr>
      </w:pPr>
    </w:p>
    <w:p w:rsidR="004A55F2" w:rsidRDefault="004A55F2" w:rsidP="004A55F2">
      <w:pPr>
        <w:bidi/>
        <w:spacing w:before="120" w:after="120"/>
        <w:ind w:firstLine="567"/>
        <w:rPr>
          <w:rFonts w:ascii="Traditional Arabic" w:hAnsi="Traditional Arabic" w:cs="Traditional Arabic"/>
          <w:b/>
          <w:bCs/>
          <w:sz w:val="34"/>
          <w:szCs w:val="34"/>
          <w:rtl/>
          <w:lang w:bidi="ar-DZ"/>
        </w:rPr>
      </w:pPr>
    </w:p>
    <w:p w:rsidR="004A55F2" w:rsidRDefault="004A55F2" w:rsidP="004A55F2">
      <w:pPr>
        <w:bidi/>
        <w:spacing w:before="120" w:after="120"/>
        <w:ind w:firstLine="567"/>
        <w:rPr>
          <w:rFonts w:ascii="Traditional Arabic" w:hAnsi="Traditional Arabic" w:cs="Traditional Arabic"/>
          <w:b/>
          <w:bCs/>
          <w:sz w:val="34"/>
          <w:szCs w:val="34"/>
          <w:rtl/>
          <w:lang w:bidi="ar-DZ"/>
        </w:rPr>
      </w:pPr>
    </w:p>
    <w:p w:rsidR="00052DEE" w:rsidRDefault="00052DEE">
      <w:pPr>
        <w:rPr>
          <w:lang w:bidi="ar-DZ"/>
        </w:rPr>
      </w:pPr>
    </w:p>
    <w:sectPr w:rsidR="00052DE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24F1" w:rsidRDefault="008924F1" w:rsidP="004A55F2">
      <w:pPr>
        <w:spacing w:after="0" w:line="240" w:lineRule="auto"/>
      </w:pPr>
      <w:r>
        <w:separator/>
      </w:r>
    </w:p>
  </w:endnote>
  <w:endnote w:type="continuationSeparator" w:id="0">
    <w:p w:rsidR="008924F1" w:rsidRDefault="008924F1" w:rsidP="004A55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Sakkal Majalla">
    <w:panose1 w:val="02000000000000000000"/>
    <w:charset w:val="00"/>
    <w:family w:val="auto"/>
    <w:pitch w:val="variable"/>
    <w:sig w:usb0="A000207F" w:usb1="C000204B" w:usb2="00000008" w:usb3="00000000" w:csb0="000000D3"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24F1" w:rsidRDefault="008924F1" w:rsidP="004A55F2">
      <w:pPr>
        <w:spacing w:after="0" w:line="240" w:lineRule="auto"/>
      </w:pPr>
      <w:r>
        <w:separator/>
      </w:r>
    </w:p>
  </w:footnote>
  <w:footnote w:type="continuationSeparator" w:id="0">
    <w:p w:rsidR="008924F1" w:rsidRDefault="008924F1" w:rsidP="004A55F2">
      <w:pPr>
        <w:spacing w:after="0" w:line="240" w:lineRule="auto"/>
      </w:pPr>
      <w:r>
        <w:continuationSeparator/>
      </w:r>
    </w:p>
  </w:footnote>
  <w:footnote w:id="1">
    <w:p w:rsidR="004A55F2" w:rsidRDefault="004A55F2" w:rsidP="004A55F2">
      <w:pPr>
        <w:pStyle w:val="Notedebasdepage"/>
        <w:bidi/>
        <w:jc w:val="right"/>
        <w:rPr>
          <w:rFonts w:ascii="Simplified Arabic" w:hAnsi="Simplified Arabic"/>
          <w:sz w:val="24"/>
          <w:szCs w:val="24"/>
          <w:rtl/>
          <w:lang w:bidi="ar-EG"/>
        </w:rPr>
      </w:pPr>
      <w:r>
        <w:rPr>
          <w:rStyle w:val="Appelnotedebasdep"/>
          <w:rFonts w:ascii="Simplified Arabic" w:hAnsi="Simplified Arabic"/>
          <w:sz w:val="24"/>
          <w:szCs w:val="24"/>
        </w:rPr>
        <w:footnoteRef/>
      </w:r>
      <w:r>
        <w:rPr>
          <w:rFonts w:ascii="Simplified Arabic" w:hAnsi="Simplified Arabic"/>
          <w:sz w:val="24"/>
          <w:szCs w:val="24"/>
        </w:rPr>
        <w:t>) Dictionnaire Du Français Primordial. P 249.</w:t>
      </w:r>
      <w:r>
        <w:rPr>
          <w:rFonts w:ascii="Simplified Arabic" w:hAnsi="Simplified Arabic"/>
          <w:sz w:val="24"/>
          <w:szCs w:val="24"/>
          <w:rtl/>
          <w:lang w:bidi="ar-EG"/>
        </w:rPr>
        <w:t>)</w:t>
      </w:r>
    </w:p>
    <w:p w:rsidR="004A55F2" w:rsidRDefault="004A55F2" w:rsidP="004A55F2">
      <w:pPr>
        <w:pStyle w:val="Notedebasdepage"/>
        <w:bidi/>
        <w:jc w:val="right"/>
        <w:rPr>
          <w:rtl/>
        </w:rPr>
      </w:pPr>
      <w:r>
        <w:rPr>
          <w:rFonts w:ascii="Simplified Arabic" w:hAnsi="Simplified Arabic"/>
          <w:sz w:val="24"/>
          <w:szCs w:val="24"/>
        </w:rPr>
        <w:t>Critiquer</w:t>
      </w:r>
      <w:r>
        <w:rPr>
          <w:rFonts w:ascii="Simplified Arabic" w:hAnsi="Simplified Arabic"/>
          <w:sz w:val="24"/>
          <w:szCs w:val="24"/>
          <w:rtl/>
        </w:rPr>
        <w:t xml:space="preserve">، </w:t>
      </w:r>
      <w:proofErr w:type="gramStart"/>
      <w:r>
        <w:rPr>
          <w:rFonts w:ascii="Simplified Arabic" w:hAnsi="Simplified Arabic"/>
          <w:sz w:val="24"/>
          <w:szCs w:val="24"/>
        </w:rPr>
        <w:t>examiner</w:t>
      </w:r>
      <w:proofErr w:type="gramEnd"/>
      <w:r>
        <w:rPr>
          <w:rFonts w:ascii="Simplified Arabic" w:hAnsi="Simplified Arabic"/>
          <w:sz w:val="24"/>
          <w:szCs w:val="24"/>
        </w:rPr>
        <w:t xml:space="preserve"> (les ouvrages d’art ou d’esprit</w:t>
      </w:r>
      <w:r>
        <w:rPr>
          <w:rFonts w:ascii="Simplified Arabic" w:hAnsi="Simplified Arabic"/>
          <w:sz w:val="24"/>
          <w:szCs w:val="24"/>
          <w:rtl/>
        </w:rPr>
        <w:t xml:space="preserve">، </w:t>
      </w:r>
      <w:r>
        <w:rPr>
          <w:rFonts w:ascii="Simplified Arabic" w:hAnsi="Simplified Arabic"/>
          <w:sz w:val="24"/>
          <w:szCs w:val="24"/>
        </w:rPr>
        <w:t xml:space="preserve">pour en faire ressortir les qualités les défauts. Analyser. Etudier. Examiner. Juger. </w:t>
      </w:r>
    </w:p>
  </w:footnote>
  <w:footnote w:id="2">
    <w:p w:rsidR="004A55F2" w:rsidRDefault="004A55F2" w:rsidP="004A55F2">
      <w:pPr>
        <w:pStyle w:val="Notedebasdepage"/>
        <w:bidi/>
        <w:jc w:val="right"/>
        <w:rPr>
          <w:rFonts w:ascii="Simplified Arabic" w:hAnsi="Simplified Arabic"/>
          <w:sz w:val="24"/>
          <w:szCs w:val="24"/>
        </w:rPr>
      </w:pPr>
      <w:r>
        <w:rPr>
          <w:rFonts w:ascii="Simplified Arabic" w:hAnsi="Simplified Arabic"/>
          <w:sz w:val="24"/>
          <w:szCs w:val="24"/>
        </w:rPr>
        <w:tab/>
        <w:t>(</w:t>
      </w:r>
      <w:r>
        <w:rPr>
          <w:rStyle w:val="Appelnotedebasdep"/>
          <w:rFonts w:ascii="Simplified Arabic" w:hAnsi="Simplified Arabic"/>
          <w:sz w:val="24"/>
          <w:szCs w:val="24"/>
        </w:rPr>
        <w:footnoteRef/>
      </w:r>
      <w:r>
        <w:rPr>
          <w:rFonts w:ascii="Simplified Arabic" w:hAnsi="Simplified Arabic"/>
          <w:sz w:val="24"/>
          <w:szCs w:val="24"/>
        </w:rPr>
        <w:t xml:space="preserve">) Français </w:t>
      </w:r>
      <w:proofErr w:type="spellStart"/>
      <w:r>
        <w:rPr>
          <w:rFonts w:ascii="Simplified Arabic" w:hAnsi="Simplified Arabic"/>
          <w:sz w:val="24"/>
          <w:szCs w:val="24"/>
        </w:rPr>
        <w:t>Zourabichville</w:t>
      </w:r>
      <w:proofErr w:type="spellEnd"/>
      <w:r>
        <w:rPr>
          <w:rFonts w:ascii="Simplified Arabic" w:hAnsi="Simplified Arabic"/>
          <w:sz w:val="24"/>
          <w:szCs w:val="24"/>
        </w:rPr>
        <w:t xml:space="preserve">, </w:t>
      </w:r>
      <w:proofErr w:type="gramStart"/>
      <w:r>
        <w:rPr>
          <w:rFonts w:ascii="Simplified Arabic" w:hAnsi="Simplified Arabic"/>
          <w:sz w:val="24"/>
          <w:szCs w:val="24"/>
        </w:rPr>
        <w:t>la</w:t>
      </w:r>
      <w:proofErr w:type="gramEnd"/>
      <w:r>
        <w:rPr>
          <w:rFonts w:ascii="Simplified Arabic" w:hAnsi="Simplified Arabic"/>
          <w:sz w:val="24"/>
          <w:szCs w:val="24"/>
        </w:rPr>
        <w:t xml:space="preserve"> vocabulaire de Deleuze. </w:t>
      </w:r>
      <w:proofErr w:type="gramStart"/>
      <w:r>
        <w:rPr>
          <w:rFonts w:ascii="Simplified Arabic" w:hAnsi="Simplified Arabic"/>
          <w:sz w:val="24"/>
          <w:szCs w:val="24"/>
        </w:rPr>
        <w:t>édition</w:t>
      </w:r>
      <w:proofErr w:type="gramEnd"/>
      <w:r>
        <w:rPr>
          <w:rFonts w:ascii="Simplified Arabic" w:hAnsi="Simplified Arabic"/>
          <w:sz w:val="24"/>
          <w:szCs w:val="24"/>
        </w:rPr>
        <w:t>. Ellipse 2003, PP 57.58.</w:t>
      </w:r>
    </w:p>
    <w:p w:rsidR="004A55F2" w:rsidRDefault="004A55F2" w:rsidP="004A55F2">
      <w:pPr>
        <w:pStyle w:val="Notedebasdepage"/>
        <w:bidi/>
        <w:jc w:val="right"/>
      </w:pPr>
      <w:r>
        <w:rPr>
          <w:rFonts w:ascii="Simplified Arabic" w:hAnsi="Simplified Arabic"/>
          <w:sz w:val="24"/>
          <w:szCs w:val="24"/>
          <w:rtl/>
        </w:rPr>
        <w:t>))</w:t>
      </w:r>
      <w:r>
        <w:rPr>
          <w:rFonts w:ascii="Simplified Arabic" w:hAnsi="Simplified Arabic"/>
          <w:sz w:val="24"/>
          <w:szCs w:val="24"/>
        </w:rPr>
        <w:t>il présente forcément deux faces chacune étant le miroir de l’autre plan de pensée, plan de nature car le mouvement n’est pas image de la pensée sous être aussi matière de l’être)).</w:t>
      </w:r>
    </w:p>
  </w:footnote>
  <w:footnote w:id="3">
    <w:p w:rsidR="004A55F2" w:rsidRDefault="004A55F2" w:rsidP="004A55F2">
      <w:pPr>
        <w:pStyle w:val="Notedebasdepage"/>
        <w:bidi/>
      </w:pPr>
      <w:r>
        <w:rPr>
          <w:rFonts w:ascii="Simplified Arabic" w:hAnsi="Simplified Arabic"/>
          <w:sz w:val="24"/>
          <w:szCs w:val="24"/>
          <w:rtl/>
          <w:lang w:val="en-US" w:bidi="ar-EG"/>
        </w:rPr>
        <w:t>(</w:t>
      </w:r>
      <w:r>
        <w:rPr>
          <w:rStyle w:val="Appelnotedebasdep"/>
          <w:rFonts w:ascii="Simplified Arabic" w:hAnsi="Simplified Arabic"/>
          <w:sz w:val="24"/>
          <w:szCs w:val="24"/>
        </w:rPr>
        <w:footnoteRef/>
      </w:r>
      <w:r>
        <w:rPr>
          <w:rFonts w:ascii="Simplified Arabic" w:hAnsi="Simplified Arabic"/>
          <w:sz w:val="24"/>
          <w:szCs w:val="24"/>
          <w:rtl/>
        </w:rPr>
        <w:t>) ميجان الرويلي، سعد البازعي، دليل الناقد الأدبي، المركز الثقافي العربي، الدار البيضاء، بيروت، ط2، 2000، ص 201.</w:t>
      </w:r>
    </w:p>
  </w:footnote>
  <w:footnote w:id="4">
    <w:p w:rsidR="004A55F2" w:rsidRDefault="004A55F2" w:rsidP="004A55F2">
      <w:pPr>
        <w:pStyle w:val="Notedebasdepage"/>
        <w:bidi/>
      </w:pPr>
      <w:r>
        <w:rPr>
          <w:rFonts w:ascii="Simplified Arabic" w:hAnsi="Simplified Arabic"/>
          <w:sz w:val="24"/>
          <w:szCs w:val="24"/>
          <w:rtl/>
          <w:lang w:val="en-US" w:bidi="ar-EG"/>
        </w:rPr>
        <w:t>(</w:t>
      </w:r>
      <w:r>
        <w:rPr>
          <w:rStyle w:val="Appelnotedebasdep"/>
          <w:rFonts w:ascii="Simplified Arabic" w:hAnsi="Simplified Arabic"/>
          <w:sz w:val="24"/>
          <w:szCs w:val="24"/>
        </w:rPr>
        <w:footnoteRef/>
      </w:r>
      <w:r>
        <w:rPr>
          <w:rFonts w:ascii="Simplified Arabic" w:hAnsi="Simplified Arabic"/>
          <w:sz w:val="24"/>
          <w:szCs w:val="24"/>
          <w:rtl/>
        </w:rPr>
        <w:t>) المرجع نفسه، ص 201.</w:t>
      </w:r>
    </w:p>
  </w:footnote>
  <w:footnote w:id="5">
    <w:p w:rsidR="004A55F2" w:rsidRDefault="004A55F2" w:rsidP="004A55F2">
      <w:pPr>
        <w:pStyle w:val="Notedebasdepage"/>
        <w:bidi/>
        <w:rPr>
          <w:rFonts w:ascii="Simplified Arabic" w:hAnsi="Simplified Arabic"/>
          <w:sz w:val="24"/>
          <w:szCs w:val="24"/>
        </w:rPr>
      </w:pPr>
      <w:r>
        <w:rPr>
          <w:rStyle w:val="Appelnotedebasdep"/>
          <w:rFonts w:ascii="Simplified Arabic" w:hAnsi="Simplified Arabic"/>
          <w:sz w:val="24"/>
          <w:szCs w:val="24"/>
        </w:rPr>
        <w:t>*</w:t>
      </w:r>
      <w:r>
        <w:rPr>
          <w:rFonts w:ascii="Simplified Arabic" w:hAnsi="Simplified Arabic"/>
          <w:sz w:val="24"/>
          <w:szCs w:val="24"/>
          <w:rtl/>
        </w:rPr>
        <w:t xml:space="preserve"> أقصد هنا الصروح الفلسفية الكبرى المعاصرة من خلال الحدثيات التي قامت بمراجعات نقدية صعبة، </w:t>
      </w:r>
    </w:p>
    <w:p w:rsidR="004A55F2" w:rsidRDefault="004A55F2" w:rsidP="004A55F2">
      <w:pPr>
        <w:pStyle w:val="Notedebasdepage"/>
        <w:bidi/>
        <w:rPr>
          <w:rFonts w:ascii="Simplified Arabic" w:hAnsi="Simplified Arabic"/>
          <w:sz w:val="24"/>
          <w:szCs w:val="24"/>
          <w:rtl/>
        </w:rPr>
      </w:pPr>
      <w:r>
        <w:rPr>
          <w:rFonts w:ascii="Simplified Arabic" w:hAnsi="Simplified Arabic"/>
          <w:sz w:val="24"/>
          <w:szCs w:val="24"/>
          <w:rtl/>
        </w:rPr>
        <w:t>- منعرج هوسرل.</w:t>
      </w:r>
    </w:p>
    <w:p w:rsidR="004A55F2" w:rsidRDefault="004A55F2" w:rsidP="004A55F2">
      <w:pPr>
        <w:pStyle w:val="Notedebasdepage"/>
        <w:bidi/>
        <w:rPr>
          <w:rFonts w:ascii="Simplified Arabic" w:hAnsi="Simplified Arabic"/>
          <w:sz w:val="24"/>
          <w:szCs w:val="24"/>
          <w:rtl/>
        </w:rPr>
      </w:pPr>
      <w:r>
        <w:rPr>
          <w:rFonts w:ascii="Simplified Arabic" w:hAnsi="Simplified Arabic"/>
          <w:sz w:val="24"/>
          <w:szCs w:val="24"/>
          <w:rtl/>
        </w:rPr>
        <w:t>- منعرج هيدغر.</w:t>
      </w:r>
    </w:p>
    <w:p w:rsidR="004A55F2" w:rsidRDefault="004A55F2" w:rsidP="004A55F2">
      <w:pPr>
        <w:pStyle w:val="Notedebasdepage"/>
        <w:bidi/>
        <w:rPr>
          <w:rFonts w:ascii="Simplified Arabic" w:hAnsi="Simplified Arabic"/>
          <w:sz w:val="24"/>
          <w:szCs w:val="24"/>
          <w:rtl/>
        </w:rPr>
      </w:pPr>
      <w:r>
        <w:rPr>
          <w:rFonts w:ascii="Simplified Arabic" w:hAnsi="Simplified Arabic"/>
          <w:sz w:val="24"/>
          <w:szCs w:val="24"/>
          <w:rtl/>
        </w:rPr>
        <w:t>- منعرج غادامير.</w:t>
      </w:r>
    </w:p>
    <w:p w:rsidR="004A55F2" w:rsidRDefault="004A55F2" w:rsidP="004A55F2">
      <w:pPr>
        <w:pStyle w:val="Notedebasdepage"/>
        <w:bidi/>
        <w:rPr>
          <w:rFonts w:ascii="Simplified Arabic" w:hAnsi="Simplified Arabic"/>
          <w:sz w:val="24"/>
          <w:szCs w:val="24"/>
          <w:rtl/>
        </w:rPr>
      </w:pPr>
      <w:r>
        <w:rPr>
          <w:rFonts w:ascii="Simplified Arabic" w:hAnsi="Simplified Arabic"/>
          <w:sz w:val="24"/>
          <w:szCs w:val="24"/>
          <w:rtl/>
        </w:rPr>
        <w:t>- منعرج دريدا.</w:t>
      </w:r>
    </w:p>
    <w:p w:rsidR="004A55F2" w:rsidRDefault="004A55F2" w:rsidP="004A55F2">
      <w:pPr>
        <w:pStyle w:val="Notedebasdepage"/>
        <w:bidi/>
        <w:rPr>
          <w:rFonts w:ascii="Simplified Arabic" w:hAnsi="Simplified Arabic"/>
          <w:sz w:val="24"/>
          <w:szCs w:val="24"/>
          <w:rtl/>
        </w:rPr>
      </w:pPr>
      <w:r>
        <w:rPr>
          <w:rFonts w:ascii="Simplified Arabic" w:hAnsi="Simplified Arabic"/>
          <w:sz w:val="24"/>
          <w:szCs w:val="24"/>
          <w:rtl/>
        </w:rPr>
        <w:t>- منعرج هابرماس.</w:t>
      </w:r>
    </w:p>
    <w:p w:rsidR="004A55F2" w:rsidRDefault="004A55F2" w:rsidP="004A55F2">
      <w:pPr>
        <w:pStyle w:val="Notedebasdepage"/>
        <w:bidi/>
        <w:rPr>
          <w:rtl/>
        </w:rPr>
      </w:pPr>
      <w:r>
        <w:rPr>
          <w:rFonts w:ascii="Simplified Arabic" w:hAnsi="Simplified Arabic"/>
          <w:sz w:val="24"/>
          <w:szCs w:val="24"/>
          <w:rtl/>
        </w:rPr>
        <w:t>وأقصد بالصروح المشروع، ذلك أن الفلسفة المعاصرة اتخذت منحى لغويا خالصا تحررت معه من سيطرت الميتافيزيقا التي أنهكت البحث النقدي، الفلسفي الغربي.</w:t>
      </w:r>
    </w:p>
  </w:footnote>
  <w:footnote w:id="6">
    <w:p w:rsidR="004A55F2" w:rsidRDefault="004A55F2" w:rsidP="004A55F2">
      <w:pPr>
        <w:pStyle w:val="Notedebasdepage"/>
        <w:bidi/>
      </w:pPr>
      <w:r>
        <w:rPr>
          <w:rFonts w:ascii="Simplified Arabic" w:hAnsi="Simplified Arabic"/>
          <w:sz w:val="24"/>
          <w:szCs w:val="24"/>
          <w:rtl/>
          <w:lang w:val="en-US" w:bidi="ar-EG"/>
        </w:rPr>
        <w:t>(</w:t>
      </w:r>
      <w:r>
        <w:rPr>
          <w:rStyle w:val="Appelnotedebasdep"/>
          <w:rFonts w:ascii="Simplified Arabic" w:hAnsi="Simplified Arabic"/>
          <w:sz w:val="24"/>
          <w:szCs w:val="24"/>
        </w:rPr>
        <w:footnoteRef/>
      </w:r>
      <w:r>
        <w:rPr>
          <w:rFonts w:ascii="Simplified Arabic" w:hAnsi="Simplified Arabic"/>
          <w:sz w:val="24"/>
          <w:szCs w:val="24"/>
          <w:rtl/>
        </w:rPr>
        <w:t>) أحمد عمان، قراءة عصرية في نصوص النقد الكلاسيكية، موسوعة كمبدريدج في النقد الأدبي، العدد 917، المجلس الأعلى للترجمة، القاهرة، الطبعة 1، 2005، ص 30.</w:t>
      </w:r>
    </w:p>
  </w:footnote>
  <w:footnote w:id="7">
    <w:p w:rsidR="004A55F2" w:rsidRDefault="004A55F2" w:rsidP="004A55F2">
      <w:pPr>
        <w:pStyle w:val="Notedebasdepage"/>
        <w:bidi/>
      </w:pPr>
      <w:r>
        <w:rPr>
          <w:rFonts w:ascii="Simplified Arabic" w:hAnsi="Simplified Arabic"/>
          <w:sz w:val="24"/>
          <w:szCs w:val="24"/>
          <w:rtl/>
          <w:lang w:val="en-US" w:bidi="ar-EG"/>
        </w:rPr>
        <w:t>(</w:t>
      </w:r>
      <w:r>
        <w:rPr>
          <w:rStyle w:val="Appelnotedebasdep"/>
          <w:rFonts w:ascii="Simplified Arabic" w:hAnsi="Simplified Arabic"/>
          <w:sz w:val="24"/>
          <w:szCs w:val="24"/>
        </w:rPr>
        <w:footnoteRef/>
      </w:r>
      <w:r>
        <w:rPr>
          <w:rFonts w:ascii="Simplified Arabic" w:hAnsi="Simplified Arabic"/>
          <w:sz w:val="24"/>
          <w:szCs w:val="24"/>
          <w:rtl/>
        </w:rPr>
        <w:t>) المرجع السابق، ص 31.</w:t>
      </w:r>
    </w:p>
  </w:footnote>
  <w:footnote w:id="8">
    <w:p w:rsidR="004A55F2" w:rsidRDefault="004A55F2" w:rsidP="004A55F2">
      <w:pPr>
        <w:pStyle w:val="Notedebasdepage"/>
        <w:bidi/>
      </w:pPr>
      <w:r>
        <w:rPr>
          <w:rFonts w:ascii="Simplified Arabic" w:hAnsi="Simplified Arabic"/>
          <w:sz w:val="24"/>
          <w:szCs w:val="24"/>
          <w:rtl/>
          <w:lang w:val="en-US" w:bidi="ar-EG"/>
        </w:rPr>
        <w:t>(</w:t>
      </w:r>
      <w:r>
        <w:rPr>
          <w:rStyle w:val="Appelnotedebasdep"/>
          <w:rFonts w:ascii="Simplified Arabic" w:hAnsi="Simplified Arabic"/>
          <w:sz w:val="24"/>
          <w:szCs w:val="24"/>
        </w:rPr>
        <w:footnoteRef/>
      </w:r>
      <w:r>
        <w:rPr>
          <w:rFonts w:ascii="Simplified Arabic" w:hAnsi="Simplified Arabic"/>
          <w:sz w:val="24"/>
          <w:szCs w:val="24"/>
          <w:rtl/>
        </w:rPr>
        <w:t xml:space="preserve">) فيراري، أفلاطون والشعر، ترجمة، السيد عبد السلام البراوي، موسوعة كمبدريدج في النقد الأدبي، ص 187. </w:t>
      </w:r>
    </w:p>
  </w:footnote>
  <w:footnote w:id="9">
    <w:p w:rsidR="004A55F2" w:rsidRDefault="004A55F2" w:rsidP="004A55F2">
      <w:pPr>
        <w:pStyle w:val="Notedebasdepage"/>
        <w:bidi/>
      </w:pPr>
      <w:r>
        <w:rPr>
          <w:rFonts w:ascii="Simplified Arabic" w:hAnsi="Simplified Arabic"/>
          <w:sz w:val="24"/>
          <w:szCs w:val="24"/>
          <w:rtl/>
          <w:lang w:val="en-US" w:bidi="ar-EG"/>
        </w:rPr>
        <w:t>(</w:t>
      </w:r>
      <w:r>
        <w:rPr>
          <w:rStyle w:val="Appelnotedebasdep"/>
          <w:rFonts w:ascii="Simplified Arabic" w:hAnsi="Simplified Arabic"/>
          <w:sz w:val="24"/>
          <w:szCs w:val="24"/>
        </w:rPr>
        <w:footnoteRef/>
      </w:r>
      <w:r>
        <w:rPr>
          <w:rFonts w:ascii="Simplified Arabic" w:hAnsi="Simplified Arabic"/>
          <w:sz w:val="24"/>
          <w:szCs w:val="24"/>
          <w:rtl/>
        </w:rPr>
        <w:t>) كمال بسيوني، أثر النقد اليوناني في النقد العربي القديم، مكتبة النهضة المصرية، القاهرة، ط 1 1996، ص 85.</w:t>
      </w:r>
    </w:p>
  </w:footnote>
  <w:footnote w:id="10">
    <w:p w:rsidR="004A55F2" w:rsidRDefault="004A55F2" w:rsidP="004A55F2">
      <w:pPr>
        <w:pStyle w:val="Notedebasdepage"/>
        <w:bidi/>
      </w:pPr>
      <w:r>
        <w:rPr>
          <w:rFonts w:ascii="Simplified Arabic" w:hAnsi="Simplified Arabic"/>
          <w:sz w:val="24"/>
          <w:szCs w:val="24"/>
          <w:rtl/>
          <w:lang w:val="en-US" w:bidi="ar-EG"/>
        </w:rPr>
        <w:t>(</w:t>
      </w:r>
      <w:r>
        <w:rPr>
          <w:rStyle w:val="Appelnotedebasdep"/>
          <w:rFonts w:ascii="Simplified Arabic" w:hAnsi="Simplified Arabic"/>
          <w:sz w:val="24"/>
          <w:szCs w:val="24"/>
        </w:rPr>
        <w:footnoteRef/>
      </w:r>
      <w:r>
        <w:rPr>
          <w:rFonts w:ascii="Simplified Arabic" w:hAnsi="Simplified Arabic"/>
          <w:sz w:val="24"/>
          <w:szCs w:val="24"/>
          <w:rtl/>
        </w:rPr>
        <w:t>) يوسف وغليسي، إشكالية المصطلح في الخطاب النقدي العربي الجديد، الدار العربية للعلوم. منشورات الاختلاف. الجزائر، بيروت، ط1، 2008، ص 113.</w:t>
      </w:r>
    </w:p>
  </w:footnote>
  <w:footnote w:id="11">
    <w:p w:rsidR="004A55F2" w:rsidRDefault="004A55F2" w:rsidP="004A55F2">
      <w:pPr>
        <w:pStyle w:val="Notedebasdepage"/>
        <w:bidi/>
      </w:pPr>
      <w:r>
        <w:rPr>
          <w:rFonts w:ascii="Simplified Arabic" w:hAnsi="Simplified Arabic"/>
          <w:sz w:val="24"/>
          <w:szCs w:val="24"/>
          <w:rtl/>
          <w:lang w:val="en-US" w:bidi="ar-EG"/>
        </w:rPr>
        <w:t>(</w:t>
      </w:r>
      <w:r>
        <w:rPr>
          <w:rStyle w:val="Appelnotedebasdep"/>
          <w:rFonts w:ascii="Simplified Arabic" w:hAnsi="Simplified Arabic"/>
          <w:sz w:val="24"/>
          <w:szCs w:val="24"/>
        </w:rPr>
        <w:footnoteRef/>
      </w:r>
      <w:r>
        <w:rPr>
          <w:rFonts w:ascii="Simplified Arabic" w:hAnsi="Simplified Arabic"/>
          <w:sz w:val="24"/>
          <w:szCs w:val="24"/>
          <w:rtl/>
        </w:rPr>
        <w:t>) فكتور ايرلينج، الشكلانية الروسية، ترجمة؛ الولي محمد، المركز الثقافي العربي، الدار البيضاء، بيروت، ط1، 2000، ص 13.</w:t>
      </w:r>
    </w:p>
  </w:footnote>
  <w:footnote w:id="12">
    <w:p w:rsidR="004A55F2" w:rsidRDefault="004A55F2" w:rsidP="004A55F2">
      <w:pPr>
        <w:pStyle w:val="Notedebasdepage"/>
        <w:bidi/>
      </w:pPr>
      <w:r>
        <w:rPr>
          <w:rFonts w:ascii="Simplified Arabic" w:hAnsi="Simplified Arabic"/>
          <w:sz w:val="24"/>
          <w:szCs w:val="24"/>
          <w:rtl/>
          <w:lang w:val="en-US" w:bidi="ar-EG"/>
        </w:rPr>
        <w:t>(</w:t>
      </w:r>
      <w:r>
        <w:rPr>
          <w:rStyle w:val="Appelnotedebasdep"/>
          <w:rFonts w:ascii="Simplified Arabic" w:hAnsi="Simplified Arabic"/>
          <w:sz w:val="24"/>
          <w:szCs w:val="24"/>
        </w:rPr>
        <w:footnoteRef/>
      </w:r>
      <w:r>
        <w:rPr>
          <w:rFonts w:ascii="Simplified Arabic" w:hAnsi="Simplified Arabic"/>
          <w:sz w:val="24"/>
          <w:szCs w:val="24"/>
          <w:rtl/>
        </w:rPr>
        <w:t>) المرجع نفسه، ص 14.</w:t>
      </w:r>
    </w:p>
  </w:footnote>
  <w:footnote w:id="13">
    <w:p w:rsidR="004A55F2" w:rsidRDefault="004A55F2" w:rsidP="004A55F2">
      <w:pPr>
        <w:pStyle w:val="Notedebasdepage"/>
        <w:bidi/>
      </w:pPr>
      <w:r>
        <w:rPr>
          <w:rFonts w:ascii="Simplified Arabic" w:hAnsi="Simplified Arabic"/>
          <w:sz w:val="24"/>
          <w:szCs w:val="24"/>
          <w:rtl/>
          <w:lang w:val="en-US" w:bidi="ar-EG"/>
        </w:rPr>
        <w:t>(</w:t>
      </w:r>
      <w:r>
        <w:rPr>
          <w:rStyle w:val="Appelnotedebasdep"/>
          <w:rFonts w:ascii="Simplified Arabic" w:hAnsi="Simplified Arabic"/>
          <w:sz w:val="24"/>
          <w:szCs w:val="24"/>
        </w:rPr>
        <w:footnoteRef/>
      </w:r>
      <w:r>
        <w:rPr>
          <w:rFonts w:ascii="Simplified Arabic" w:hAnsi="Simplified Arabic"/>
          <w:sz w:val="24"/>
          <w:szCs w:val="24"/>
          <w:rtl/>
        </w:rPr>
        <w:t>) بيتر شتاينر، المدرسة الشكلانية الروسية، موسوعة كمبريدج في النقد الأدبي، المجلد الثامن، ص 33.</w:t>
      </w:r>
    </w:p>
  </w:footnote>
  <w:footnote w:id="14">
    <w:p w:rsidR="004A55F2" w:rsidRDefault="004A55F2" w:rsidP="004A55F2">
      <w:pPr>
        <w:pStyle w:val="Notedebasdepage"/>
        <w:bidi/>
      </w:pPr>
      <w:r>
        <w:rPr>
          <w:rFonts w:ascii="Simplified Arabic" w:hAnsi="Simplified Arabic"/>
          <w:sz w:val="24"/>
          <w:szCs w:val="24"/>
          <w:rtl/>
          <w:lang w:val="en-US" w:bidi="ar-EG"/>
        </w:rPr>
        <w:t>(</w:t>
      </w:r>
      <w:r>
        <w:rPr>
          <w:rStyle w:val="Appelnotedebasdep"/>
          <w:rFonts w:ascii="Simplified Arabic" w:hAnsi="Simplified Arabic"/>
          <w:sz w:val="24"/>
          <w:szCs w:val="24"/>
        </w:rPr>
        <w:footnoteRef/>
      </w:r>
      <w:r>
        <w:rPr>
          <w:rFonts w:ascii="Simplified Arabic" w:hAnsi="Simplified Arabic"/>
          <w:sz w:val="24"/>
          <w:szCs w:val="24"/>
          <w:rtl/>
        </w:rPr>
        <w:t>) فكتور ايرليخ، الشكلانية الروسية، ص 5.</w:t>
      </w:r>
    </w:p>
  </w:footnote>
  <w:footnote w:id="15">
    <w:p w:rsidR="004A55F2" w:rsidRDefault="004A55F2" w:rsidP="004A55F2">
      <w:pPr>
        <w:pStyle w:val="Notedebasdepage"/>
        <w:bidi/>
        <w:rPr>
          <w:rFonts w:ascii="Simplified Arabic" w:hAnsi="Simplified Arabic"/>
          <w:sz w:val="24"/>
          <w:szCs w:val="24"/>
        </w:rPr>
      </w:pPr>
      <w:r>
        <w:rPr>
          <w:rStyle w:val="Appelnotedebasdep"/>
          <w:rFonts w:ascii="Simplified Arabic" w:hAnsi="Simplified Arabic"/>
          <w:sz w:val="24"/>
          <w:szCs w:val="24"/>
        </w:rPr>
        <w:t>*</w:t>
      </w:r>
      <w:r>
        <w:rPr>
          <w:rFonts w:ascii="Simplified Arabic" w:hAnsi="Simplified Arabic"/>
          <w:sz w:val="24"/>
          <w:szCs w:val="24"/>
          <w:rtl/>
        </w:rPr>
        <w:t xml:space="preserve"> كان هناك فاصل زمني كبير بين الشكلانية الروسية والبنيوية الفرنسية، ذلك أن أعمال الروس لم تترجم إلا في وقت متأخر حيث لم يترجم باكسيون إلى الفرنسية إلا ابتداء من 1963. كما أن أهم كتاب وهو </w:t>
      </w:r>
      <w:r>
        <w:rPr>
          <w:rFonts w:ascii="Simplified Arabic" w:hAnsi="Simplified Arabic"/>
          <w:sz w:val="24"/>
          <w:szCs w:val="24"/>
        </w:rPr>
        <w:t>Morphologie du conte </w:t>
      </w:r>
      <w:r>
        <w:rPr>
          <w:rFonts w:ascii="Simplified Arabic" w:hAnsi="Simplified Arabic"/>
          <w:sz w:val="24"/>
          <w:szCs w:val="24"/>
          <w:rtl/>
          <w:lang w:bidi="ar-DZ"/>
        </w:rPr>
        <w:t>حيث ترجم 1970.</w:t>
      </w:r>
    </w:p>
    <w:p w:rsidR="004A55F2" w:rsidRDefault="004A55F2" w:rsidP="004A55F2">
      <w:pPr>
        <w:pStyle w:val="Notedebasdepage"/>
        <w:bidi/>
        <w:rPr>
          <w:rtl/>
        </w:rPr>
      </w:pPr>
      <w:r>
        <w:rPr>
          <w:rFonts w:ascii="Simplified Arabic" w:hAnsi="Simplified Arabic"/>
          <w:sz w:val="24"/>
          <w:szCs w:val="24"/>
          <w:rtl/>
          <w:lang w:bidi="ar-DZ"/>
        </w:rPr>
        <w:t xml:space="preserve">حيث لم تزدهر الحركة البنيوية الفرنسية إلا في حدود الستينات مع الأبحاث التي نشرتها جماعة </w:t>
      </w:r>
      <w:r>
        <w:rPr>
          <w:rFonts w:ascii="Simplified Arabic" w:hAnsi="Simplified Arabic"/>
          <w:sz w:val="24"/>
          <w:szCs w:val="24"/>
          <w:lang w:bidi="ar-DZ"/>
        </w:rPr>
        <w:t>tel quel</w:t>
      </w:r>
      <w:r>
        <w:rPr>
          <w:rFonts w:ascii="Simplified Arabic" w:hAnsi="Simplified Arabic"/>
          <w:sz w:val="24"/>
          <w:szCs w:val="24"/>
          <w:rtl/>
          <w:lang w:bidi="ar-DZ"/>
        </w:rPr>
        <w:t xml:space="preserve"> </w:t>
      </w:r>
      <w:r>
        <w:rPr>
          <w:rFonts w:ascii="Simplified Arabic" w:hAnsi="Simplified Arabic" w:hint="cs"/>
          <w:sz w:val="24"/>
          <w:szCs w:val="24"/>
          <w:rtl/>
          <w:lang w:bidi="ar-DZ"/>
        </w:rPr>
        <w:t xml:space="preserve">التي أسسها الناقد الروائي فيليب صولر </w:t>
      </w:r>
      <w:r>
        <w:rPr>
          <w:rFonts w:ascii="Simplified Arabic" w:hAnsi="Simplified Arabic"/>
          <w:sz w:val="24"/>
          <w:szCs w:val="24"/>
          <w:lang w:bidi="ar-DZ"/>
        </w:rPr>
        <w:t xml:space="preserve">Philipe </w:t>
      </w:r>
      <w:proofErr w:type="spellStart"/>
      <w:r>
        <w:rPr>
          <w:rFonts w:ascii="Simplified Arabic" w:hAnsi="Simplified Arabic"/>
          <w:sz w:val="24"/>
          <w:szCs w:val="24"/>
          <w:lang w:bidi="ar-DZ"/>
        </w:rPr>
        <w:t>sollers</w:t>
      </w:r>
      <w:proofErr w:type="spellEnd"/>
      <w:r>
        <w:rPr>
          <w:rFonts w:ascii="Simplified Arabic" w:hAnsi="Simplified Arabic"/>
          <w:sz w:val="24"/>
          <w:szCs w:val="24"/>
          <w:rtl/>
          <w:lang w:bidi="ar-DZ"/>
        </w:rPr>
        <w:t xml:space="preserve"> سنة 1960.وضمت هذه الحركة زوجته يوليا كرستيفا </w:t>
      </w:r>
      <w:r>
        <w:rPr>
          <w:rFonts w:ascii="Simplified Arabic" w:hAnsi="Simplified Arabic"/>
          <w:sz w:val="24"/>
          <w:szCs w:val="24"/>
          <w:lang w:bidi="ar-DZ"/>
        </w:rPr>
        <w:t>Julia Kristeva</w:t>
      </w:r>
      <w:r>
        <w:rPr>
          <w:rFonts w:ascii="Simplified Arabic" w:hAnsi="Simplified Arabic"/>
          <w:sz w:val="24"/>
          <w:szCs w:val="24"/>
          <w:rtl/>
          <w:lang w:bidi="ar-DZ"/>
        </w:rPr>
        <w:t xml:space="preserve"> ورولان بارت </w:t>
      </w:r>
      <w:r>
        <w:rPr>
          <w:rFonts w:ascii="Simplified Arabic" w:hAnsi="Simplified Arabic"/>
          <w:sz w:val="24"/>
          <w:szCs w:val="24"/>
          <w:lang w:bidi="ar-DZ"/>
        </w:rPr>
        <w:t>Roland Barth</w:t>
      </w:r>
      <w:r>
        <w:rPr>
          <w:rFonts w:ascii="Simplified Arabic" w:hAnsi="Simplified Arabic"/>
          <w:sz w:val="24"/>
          <w:szCs w:val="24"/>
          <w:rtl/>
          <w:lang w:bidi="ar-DZ"/>
        </w:rPr>
        <w:t xml:space="preserve"> وميشال فوكو </w:t>
      </w:r>
      <w:r>
        <w:rPr>
          <w:rFonts w:ascii="Simplified Arabic" w:hAnsi="Simplified Arabic"/>
          <w:sz w:val="24"/>
          <w:szCs w:val="24"/>
          <w:lang w:bidi="ar-DZ"/>
        </w:rPr>
        <w:t>Michal Foucault</w:t>
      </w:r>
      <w:r>
        <w:rPr>
          <w:rFonts w:ascii="Simplified Arabic" w:hAnsi="Simplified Arabic"/>
          <w:sz w:val="24"/>
          <w:szCs w:val="24"/>
          <w:rtl/>
          <w:lang w:bidi="ar-DZ"/>
        </w:rPr>
        <w:t xml:space="preserve"> ودريدا</w:t>
      </w:r>
      <w:r>
        <w:rPr>
          <w:rFonts w:ascii="Simplified Arabic" w:hAnsi="Simplified Arabic"/>
          <w:sz w:val="24"/>
          <w:szCs w:val="24"/>
          <w:lang w:bidi="ar-DZ"/>
        </w:rPr>
        <w:t>Jacques Derrida</w:t>
      </w:r>
      <w:r>
        <w:rPr>
          <w:rFonts w:ascii="Simplified Arabic" w:hAnsi="Simplified Arabic"/>
          <w:sz w:val="24"/>
          <w:szCs w:val="24"/>
          <w:rtl/>
          <w:lang w:bidi="ar-DZ"/>
        </w:rPr>
        <w:t xml:space="preserve"> الثلاثة آخر التعداد ثاروا على ال</w:t>
      </w:r>
      <w:r>
        <w:rPr>
          <w:rFonts w:ascii="Simplified Arabic" w:hAnsi="Simplified Arabic"/>
          <w:sz w:val="24"/>
          <w:szCs w:val="24"/>
          <w:rtl/>
        </w:rPr>
        <w:t xml:space="preserve">صرح </w:t>
      </w:r>
      <w:r>
        <w:rPr>
          <w:rFonts w:ascii="Simplified Arabic" w:hAnsi="Simplified Arabic"/>
          <w:sz w:val="24"/>
          <w:szCs w:val="24"/>
          <w:rtl/>
          <w:lang w:bidi="ar-DZ"/>
        </w:rPr>
        <w:t>البنيوي وبشر ثالثهم بميلاد إستراتيجية جديدة سماها التفكيك.</w:t>
      </w:r>
    </w:p>
  </w:footnote>
  <w:footnote w:id="16">
    <w:p w:rsidR="004A55F2" w:rsidRDefault="004A55F2" w:rsidP="004A55F2">
      <w:pPr>
        <w:pStyle w:val="Notedebasdepage"/>
        <w:bidi/>
      </w:pPr>
      <w:r>
        <w:rPr>
          <w:rFonts w:ascii="Simplified Arabic" w:hAnsi="Simplified Arabic"/>
          <w:sz w:val="24"/>
          <w:szCs w:val="24"/>
          <w:rtl/>
          <w:lang w:val="en-US" w:bidi="ar-EG"/>
        </w:rPr>
        <w:t>(</w:t>
      </w:r>
      <w:r>
        <w:rPr>
          <w:rStyle w:val="Appelnotedebasdep"/>
          <w:rFonts w:ascii="Simplified Arabic" w:hAnsi="Simplified Arabic"/>
          <w:sz w:val="24"/>
          <w:szCs w:val="24"/>
        </w:rPr>
        <w:footnoteRef/>
      </w:r>
      <w:r>
        <w:rPr>
          <w:rFonts w:ascii="Simplified Arabic" w:hAnsi="Simplified Arabic"/>
          <w:sz w:val="24"/>
          <w:szCs w:val="24"/>
          <w:rtl/>
        </w:rPr>
        <w:t xml:space="preserve">) </w:t>
      </w:r>
      <w:r>
        <w:rPr>
          <w:rFonts w:ascii="Simplified Arabic" w:hAnsi="Simplified Arabic"/>
          <w:sz w:val="24"/>
          <w:szCs w:val="24"/>
          <w:rtl/>
          <w:lang w:bidi="ar-DZ"/>
        </w:rPr>
        <w:t>روجي غارودي، البنيوية فلسفة موت الإنسان، ترجمة؛ جورج طرابيشي، دار الطليعة للطباعة والنشر، بيروت، ط2، 1981، ص 5.</w:t>
      </w:r>
    </w:p>
  </w:footnote>
  <w:footnote w:id="17">
    <w:p w:rsidR="004A55F2" w:rsidRDefault="004A55F2" w:rsidP="004A55F2">
      <w:pPr>
        <w:pStyle w:val="Notedebasdepage"/>
        <w:bidi/>
      </w:pPr>
      <w:r>
        <w:rPr>
          <w:rStyle w:val="Appelnotedebasdep"/>
          <w:rFonts w:ascii="Simplified Arabic" w:hAnsi="Simplified Arabic"/>
          <w:sz w:val="24"/>
          <w:szCs w:val="24"/>
        </w:rPr>
        <w:t>*</w:t>
      </w:r>
      <w:r>
        <w:rPr>
          <w:rFonts w:ascii="Simplified Arabic" w:hAnsi="Simplified Arabic"/>
          <w:sz w:val="24"/>
          <w:szCs w:val="24"/>
          <w:rtl/>
        </w:rPr>
        <w:t xml:space="preserve"> أقصد به مفهوم القتل ودلالاته في الثقافة الغربية؛ موت الإلاه، موت الإنسان، موت الأدب، موت المؤلف، موت الفلسفة، موت الأم الطبيعة، وبداية عصر الحاضنة الاصطناعية....</w:t>
      </w:r>
    </w:p>
  </w:footnote>
  <w:footnote w:id="18">
    <w:p w:rsidR="004A55F2" w:rsidRDefault="004A55F2" w:rsidP="004A55F2">
      <w:pPr>
        <w:pStyle w:val="Notedebasdepage"/>
        <w:bidi/>
      </w:pPr>
      <w:r>
        <w:rPr>
          <w:rFonts w:ascii="Simplified Arabic" w:hAnsi="Simplified Arabic"/>
          <w:sz w:val="24"/>
          <w:szCs w:val="24"/>
          <w:rtl/>
          <w:lang w:val="en-US" w:bidi="ar-EG"/>
        </w:rPr>
        <w:t>(</w:t>
      </w:r>
      <w:r>
        <w:rPr>
          <w:rStyle w:val="Appelnotedebasdep"/>
          <w:rFonts w:ascii="Simplified Arabic" w:hAnsi="Simplified Arabic"/>
          <w:sz w:val="24"/>
          <w:szCs w:val="24"/>
        </w:rPr>
        <w:footnoteRef/>
      </w:r>
      <w:r>
        <w:rPr>
          <w:rFonts w:ascii="Simplified Arabic" w:hAnsi="Simplified Arabic"/>
          <w:sz w:val="24"/>
          <w:szCs w:val="24"/>
          <w:rtl/>
        </w:rPr>
        <w:t>) زكريا إبراهيم، مشكلة البنية، دار مصر للطباعة، مصر، الكتاب.</w:t>
      </w:r>
    </w:p>
  </w:footnote>
  <w:footnote w:id="19">
    <w:p w:rsidR="004A55F2" w:rsidRDefault="004A55F2" w:rsidP="004A55F2">
      <w:pPr>
        <w:pStyle w:val="Notedebasdepage"/>
        <w:bidi/>
      </w:pPr>
      <w:r>
        <w:rPr>
          <w:rFonts w:ascii="Simplified Arabic" w:hAnsi="Simplified Arabic"/>
          <w:sz w:val="24"/>
          <w:szCs w:val="24"/>
          <w:rtl/>
          <w:lang w:val="en-US" w:bidi="ar-EG"/>
        </w:rPr>
        <w:t>(</w:t>
      </w:r>
      <w:r>
        <w:rPr>
          <w:rStyle w:val="Appelnotedebasdep"/>
          <w:rFonts w:ascii="Simplified Arabic" w:hAnsi="Simplified Arabic"/>
          <w:sz w:val="24"/>
          <w:szCs w:val="24"/>
        </w:rPr>
        <w:footnoteRef/>
      </w:r>
      <w:r>
        <w:rPr>
          <w:rFonts w:ascii="Simplified Arabic" w:hAnsi="Simplified Arabic"/>
          <w:sz w:val="24"/>
          <w:szCs w:val="24"/>
          <w:rtl/>
        </w:rPr>
        <w:t>) عمر مهيل، البنيوية في الفكر العربي المعاصر، ديوان المطبوعات الجامعية، الجزائر، دط، دت، ص 12.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5F2"/>
    <w:rsid w:val="00013895"/>
    <w:rsid w:val="00052DEE"/>
    <w:rsid w:val="00350450"/>
    <w:rsid w:val="004A55F2"/>
    <w:rsid w:val="008924F1"/>
    <w:rsid w:val="00B81840"/>
    <w:rsid w:val="00F8748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5F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4A55F2"/>
    <w:pPr>
      <w:spacing w:after="0" w:line="240" w:lineRule="auto"/>
      <w:jc w:val="both"/>
    </w:pPr>
    <w:rPr>
      <w:rFonts w:ascii="Times New Roman" w:hAnsi="Times New Roman" w:cs="Simplified Arabic"/>
      <w:sz w:val="20"/>
      <w:szCs w:val="20"/>
    </w:rPr>
  </w:style>
  <w:style w:type="character" w:customStyle="1" w:styleId="NotedebasdepageCar">
    <w:name w:val="Note de bas de page Car"/>
    <w:basedOn w:val="Policepardfaut"/>
    <w:link w:val="Notedebasdepage"/>
    <w:uiPriority w:val="99"/>
    <w:semiHidden/>
    <w:rsid w:val="004A55F2"/>
    <w:rPr>
      <w:rFonts w:ascii="Times New Roman" w:hAnsi="Times New Roman" w:cs="Simplified Arabic"/>
      <w:sz w:val="20"/>
      <w:szCs w:val="20"/>
    </w:rPr>
  </w:style>
  <w:style w:type="character" w:styleId="Appelnotedebasdep">
    <w:name w:val="footnote reference"/>
    <w:basedOn w:val="Policepardfaut"/>
    <w:uiPriority w:val="99"/>
    <w:semiHidden/>
    <w:unhideWhenUsed/>
    <w:rsid w:val="004A55F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5F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4A55F2"/>
    <w:pPr>
      <w:spacing w:after="0" w:line="240" w:lineRule="auto"/>
      <w:jc w:val="both"/>
    </w:pPr>
    <w:rPr>
      <w:rFonts w:ascii="Times New Roman" w:hAnsi="Times New Roman" w:cs="Simplified Arabic"/>
      <w:sz w:val="20"/>
      <w:szCs w:val="20"/>
    </w:rPr>
  </w:style>
  <w:style w:type="character" w:customStyle="1" w:styleId="NotedebasdepageCar">
    <w:name w:val="Note de bas de page Car"/>
    <w:basedOn w:val="Policepardfaut"/>
    <w:link w:val="Notedebasdepage"/>
    <w:uiPriority w:val="99"/>
    <w:semiHidden/>
    <w:rsid w:val="004A55F2"/>
    <w:rPr>
      <w:rFonts w:ascii="Times New Roman" w:hAnsi="Times New Roman" w:cs="Simplified Arabic"/>
      <w:sz w:val="20"/>
      <w:szCs w:val="20"/>
    </w:rPr>
  </w:style>
  <w:style w:type="character" w:styleId="Appelnotedebasdep">
    <w:name w:val="footnote reference"/>
    <w:basedOn w:val="Policepardfaut"/>
    <w:uiPriority w:val="99"/>
    <w:semiHidden/>
    <w:unhideWhenUsed/>
    <w:rsid w:val="004A55F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613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1289</Words>
  <Characters>7090</Characters>
  <Application>Microsoft Office Word</Application>
  <DocSecurity>0</DocSecurity>
  <Lines>59</Lines>
  <Paragraphs>16</Paragraphs>
  <ScaleCrop>false</ScaleCrop>
  <Company>rdkc</Company>
  <LinksUpToDate>false</LinksUpToDate>
  <CharactersWithSpaces>8363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3</cp:revision>
  <dcterms:created xsi:type="dcterms:W3CDTF">2021-01-28T10:32:00Z</dcterms:created>
  <dcterms:modified xsi:type="dcterms:W3CDTF">2021-01-28T19:49:00Z</dcterms:modified>
</cp:coreProperties>
</file>