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16C51" w14:textId="7BABEB28" w:rsidR="00506E02" w:rsidRDefault="00CC5A03" w:rsidP="00CC5A03">
      <w:pPr>
        <w:bidi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هوامش</w:t>
      </w:r>
    </w:p>
    <w:p w14:paraId="0E7126A6" w14:textId="1E71F8B5" w:rsidR="00CC5A03" w:rsidRDefault="00CC5A03" w:rsidP="00CC5A03">
      <w:pPr>
        <w:bidi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المحور الرابع: تجديد علم الكلام ـ المراجعات ـ التصورات ـ الاقتراحات</w:t>
      </w:r>
    </w:p>
    <w:p w14:paraId="56176CCB" w14:textId="77777777" w:rsidR="00CC5A03" w:rsidRDefault="00CC5A03" w:rsidP="00CC5A03">
      <w:pPr>
        <w:bidi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مصدر هذه المادّة على الرابط الآتي:</w:t>
      </w:r>
    </w:p>
    <w:p w14:paraId="155EF1D4" w14:textId="4EF59170" w:rsidR="00CC5A03" w:rsidRDefault="00CC5A03" w:rsidP="00CC5A03">
      <w:pPr>
        <w:bidi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 w:rsidR="006179DC" w:rsidRPr="006179DC">
        <w:rPr>
          <w:rFonts w:ascii="Traditional Arabic" w:hAnsi="Traditional Arabic" w:cs="Traditional Arabic"/>
          <w:b/>
          <w:bCs/>
          <w:sz w:val="40"/>
          <w:szCs w:val="40"/>
          <w:u w:val="single"/>
          <w:lang w:bidi="ar-DZ"/>
        </w:rPr>
        <w:t>http://www.fahmaldin.net/index.php?id=68</w:t>
      </w:r>
    </w:p>
    <w:p w14:paraId="74FFF9C0" w14:textId="77777777" w:rsidR="00CC5A03" w:rsidRPr="00AA77DA" w:rsidRDefault="00CC5A03" w:rsidP="00CC5A03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</w:p>
    <w:p w14:paraId="1B1D2FA4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4" w:anchor="_ftnref1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[1]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المنقذ من الضلال، ص92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49B967D7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5" w:anchor="_ftnref2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[2]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تاريخ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إبن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 خلدون، مكتبة المدرسة ودار الكتاب اللبناني ببيروت، الطبعة الثالثة، 1967م، ج1، ص821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68D184F6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6" w:anchor="_ftnref3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[3]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انظر بهذا الصدد كتابنا: مدخل الى فهم الاسلام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48E6B3BF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7" w:anchor="_ftnref4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[4]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المستصفى من علم الأصول، ج1، ص5ـ7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558A932E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8" w:anchor="_ftnref5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[5]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الهمداني: شرح الأصول الخمسة، ص510. وتمهيد الأصول في علم الكلام، ص161. ومقداد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السيوري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 الحلي: إرشاد الطالبيين، منشورات مكتبة آية الله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المرعشي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 النجفي، قم، 1405هـ، ص273ـ274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403D4206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9" w:anchor="_ftnref6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[6]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انظر الفصل الاخير من كتابنا: الاجتهاد والتقليد والاتباع والنظر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091AB2C1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10" w:anchor="_ftnref7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[7]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انظر: مدخل الى فهم الاسلام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60485008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11" w:anchor="_ftnref8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[8]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المصدر السابق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51332C68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12" w:anchor="_ftnref9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[9]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انظر كتابنا: العقل والبيان والاشكاليات الدينية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333B6208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13" w:anchor="_ftnref10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[10]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ابن رشد: تهافت التهافت، المطبعة الكاثوليكية ببيروت، ص540ـ541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082C94FE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14" w:anchor="_ftnref11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[11]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انظر حول </w:t>
      </w:r>
      <w:proofErr w:type="gramStart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ذلك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:Madden</w:t>
      </w:r>
      <w:proofErr w:type="gramEnd"/>
      <w:r w:rsidR="00CC5A03" w:rsidRPr="00AA77DA">
        <w:rPr>
          <w:rFonts w:ascii="Traditional Arabic" w:hAnsi="Traditional Arabic" w:cs="Traditional Arabic"/>
          <w:sz w:val="32"/>
          <w:szCs w:val="32"/>
        </w:rPr>
        <w:t xml:space="preserve">, E. H. , Introduction;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</w:rPr>
        <w:t>Philosphy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</w:rPr>
        <w:t xml:space="preserve"> Problems of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</w:rPr>
        <w:t>Phisics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</w:rPr>
        <w:t xml:space="preserve">, in: The Structure of Scientific Thought, Great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</w:rPr>
        <w:t>Britian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</w:rPr>
        <w:t>, 1968, p. 57-58. And:  Hempel, Geometry and Empirical science, in: The Structure of Scientific Thought, p. 79-80.</w:t>
      </w:r>
    </w:p>
    <w:p w14:paraId="315C7DB6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15" w:anchor="_ftnref12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[12]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محمد باقر الصدر: موجز في اصول الدين، تحقيق عبد الجبار الرفاعي، ص127 وما بعدها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444F73C0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16" w:anchor="_ftnref13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[13]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بحوث في علم الاصول، ج4، ص126. كذلك مقدمة الفتاوى الواضحة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37187547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17" w:anchor="_ftnref14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[14]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وردت اشارة مجملة لابن القيم الجوزية يقول فيها: ‹‹تأمل حال العالم كله، علويه وسفليه بجميع أجزائه، تجده شاهداً بإثبات صانعه وفاطره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ومليكه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فانكار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 صانعه وجاحده في العقول والفطر بمنزلة انكار العلم وجحده، لا فرق </w:t>
      </w:r>
      <w:proofErr w:type="gramStart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بينهما..</w:t>
      </w:r>
      <w:proofErr w:type="gramEnd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 ومعلوم ان وجود الرب تعالى أظهر للعقول والفطر من وجود النهار، ومن لم يرَ ذلك في عقله وفطرته فليتهمهما›› (أعلام الموقعين، مقدمة طه عبد الرؤوف سعد، ج</w:t>
      </w:r>
      <w:proofErr w:type="gramStart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1 ،</w:t>
      </w:r>
      <w:proofErr w:type="gramEnd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 ص ز)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4057E72E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18" w:anchor="_ftnref15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[15]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محمد اقبال: تجديد التفكير الديني في الاسلام، ص178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074CA702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19" w:anchor="_ftnref16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[16]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انظر حول ذلك: مدخل إلى فهم الاسلام. كذلك دراستنا: علم الكلام والكلام الجديد/الهوية والوظيفة، قضايا إسلامية معاصرة، عدد 14، 1422هـ ـ2001م، ص171ـ202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22AF9C4B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20" w:anchor="_ftnref17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[17]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للتفصيل انظر كتابنا: العقل والبيان والإشكاليات الدينية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460BB54C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21" w:anchor="_ftnref18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[18]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للتفصيل انظر كتابي: جدلية الخطاب والواقع وفهم الدين والواقع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4A370C76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22" w:anchor="_ftnref19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[19]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انظر التمهيد في كتابنا: فهم الدين والواقع. وكتاب العقل والبيان والإشكاليات الدينية، الفصل السابع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3CE5DB44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23" w:anchor="_ftnref20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[20]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انظر: مدخل إلى فهم الاسلام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591995B8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24" w:anchor="_ftnref21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[21]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انظر على وجه الخصوص الفصل الاخير من الكتاب وهو بعنوان: (منهج الفهم المجمل والمقاصد)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.</w:t>
      </w:r>
    </w:p>
    <w:p w14:paraId="4591A1C3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25" w:anchor="_ftnref22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[22]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proofErr w:type="gramStart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انظر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:Frank</w:t>
      </w:r>
      <w:proofErr w:type="gramEnd"/>
      <w:r w:rsidR="00CC5A03" w:rsidRPr="00AA77DA">
        <w:rPr>
          <w:rFonts w:ascii="Traditional Arabic" w:hAnsi="Traditional Arabic" w:cs="Traditional Arabic"/>
          <w:sz w:val="32"/>
          <w:szCs w:val="32"/>
        </w:rPr>
        <w:t xml:space="preserve">, Philipp,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</w:rPr>
        <w:t>einstein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</w:rPr>
        <w:t xml:space="preserve">,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</w:rPr>
        <w:t>mach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</w:rPr>
        <w:t xml:space="preserve">, and logical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</w:rPr>
        <w:t>positivium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</w:rPr>
        <w:t xml:space="preserve">, The structure of scientific thought, printed in Great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</w:rPr>
        <w:t>Britian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</w:rPr>
        <w:t xml:space="preserve"> in 1968, p.93.</w:t>
      </w:r>
    </w:p>
    <w:p w14:paraId="7EF7A195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26" w:anchor="_ftnref23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[23]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 xml:space="preserve">انظر مثلاً الفصلين الثاني والثالث من </w:t>
      </w:r>
      <w:proofErr w:type="gramStart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:Richard</w:t>
      </w:r>
      <w:proofErr w:type="gramEnd"/>
      <w:r w:rsidR="00CC5A03" w:rsidRPr="00AA77DA">
        <w:rPr>
          <w:rFonts w:ascii="Traditional Arabic" w:hAnsi="Traditional Arabic" w:cs="Traditional Arabic"/>
          <w:sz w:val="32"/>
          <w:szCs w:val="32"/>
        </w:rPr>
        <w:t xml:space="preserve"> Swinburne, Is There a God? </w:t>
      </w:r>
      <w:proofErr w:type="spellStart"/>
      <w:r w:rsidR="00CC5A03" w:rsidRPr="00AA77DA">
        <w:rPr>
          <w:rFonts w:ascii="Traditional Arabic" w:hAnsi="Traditional Arabic" w:cs="Traditional Arabic"/>
          <w:sz w:val="32"/>
          <w:szCs w:val="32"/>
        </w:rPr>
        <w:t>OxfordUniversity</w:t>
      </w:r>
      <w:proofErr w:type="spellEnd"/>
      <w:r w:rsidR="00CC5A03" w:rsidRPr="00AA77DA">
        <w:rPr>
          <w:rFonts w:ascii="Traditional Arabic" w:hAnsi="Traditional Arabic" w:cs="Traditional Arabic"/>
          <w:sz w:val="32"/>
          <w:szCs w:val="32"/>
        </w:rPr>
        <w:t xml:space="preserve"> Press, 1996.</w:t>
      </w:r>
    </w:p>
    <w:p w14:paraId="7CFED8F8" w14:textId="77777777" w:rsidR="00CC5A03" w:rsidRPr="00AA77DA" w:rsidRDefault="006179DC" w:rsidP="00CC5A03">
      <w:pPr>
        <w:bidi/>
        <w:rPr>
          <w:rFonts w:ascii="Traditional Arabic" w:hAnsi="Traditional Arabic" w:cs="Traditional Arabic"/>
          <w:sz w:val="32"/>
          <w:szCs w:val="32"/>
        </w:rPr>
      </w:pPr>
      <w:hyperlink r:id="rId27" w:anchor="_ftnref24" w:history="1">
        <w:r w:rsidR="00CC5A03" w:rsidRPr="00AA77DA">
          <w:rPr>
            <w:rFonts w:ascii="Traditional Arabic" w:hAnsi="Traditional Arabic" w:cs="Traditional Arabic"/>
            <w:sz w:val="32"/>
            <w:szCs w:val="32"/>
            <w:u w:val="single"/>
          </w:rPr>
          <w:t>[24]</w:t>
        </w:r>
      </w:hyperlink>
      <w:r w:rsidR="00CC5A03" w:rsidRPr="00AA77DA">
        <w:rPr>
          <w:rFonts w:ascii="Traditional Arabic" w:hAnsi="Traditional Arabic" w:cs="Traditional Arabic"/>
          <w:sz w:val="32"/>
          <w:szCs w:val="32"/>
        </w:rPr>
        <w:t> </w:t>
      </w:r>
      <w:proofErr w:type="gramStart"/>
      <w:r w:rsidR="00CC5A03" w:rsidRPr="00AA77DA">
        <w:rPr>
          <w:rFonts w:ascii="Traditional Arabic" w:hAnsi="Traditional Arabic" w:cs="Traditional Arabic"/>
          <w:sz w:val="32"/>
          <w:szCs w:val="32"/>
          <w:rtl/>
        </w:rPr>
        <w:t>انظر</w:t>
      </w:r>
      <w:r w:rsidR="00CC5A03" w:rsidRPr="00AA77DA">
        <w:rPr>
          <w:rFonts w:ascii="Traditional Arabic" w:hAnsi="Traditional Arabic" w:cs="Traditional Arabic"/>
          <w:sz w:val="32"/>
          <w:szCs w:val="32"/>
        </w:rPr>
        <w:t>:Popper</w:t>
      </w:r>
      <w:proofErr w:type="gramEnd"/>
      <w:r w:rsidR="00CC5A03" w:rsidRPr="00AA77DA">
        <w:rPr>
          <w:rFonts w:ascii="Traditional Arabic" w:hAnsi="Traditional Arabic" w:cs="Traditional Arabic"/>
          <w:sz w:val="32"/>
          <w:szCs w:val="32"/>
        </w:rPr>
        <w:t>, K. The Logic of Scientific Discovery, United Kingdom, Anchor Press, First Impression 1959, Seventh Impression, 1974, p.248.</w:t>
      </w:r>
    </w:p>
    <w:p w14:paraId="57D6AE6F" w14:textId="77777777" w:rsidR="00CC5A03" w:rsidRPr="00AA77DA" w:rsidRDefault="00CC5A03" w:rsidP="00CC5A03">
      <w:pPr>
        <w:bidi/>
        <w:rPr>
          <w:rFonts w:ascii="Traditional Arabic" w:hAnsi="Traditional Arabic" w:cs="Traditional Arabic"/>
          <w:sz w:val="32"/>
          <w:szCs w:val="32"/>
        </w:rPr>
      </w:pPr>
    </w:p>
    <w:p w14:paraId="0D695785" w14:textId="61EEBA67" w:rsidR="00CC5A03" w:rsidRDefault="00CC5A03" w:rsidP="00CC5A03">
      <w:pPr>
        <w:bidi/>
        <w:rPr>
          <w:lang w:bidi="ar-DZ"/>
        </w:rPr>
      </w:pPr>
    </w:p>
    <w:sectPr w:rsidR="00CC5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3"/>
    <w:rsid w:val="00506E02"/>
    <w:rsid w:val="006179DC"/>
    <w:rsid w:val="00CC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7F73"/>
  <w15:chartTrackingRefBased/>
  <w15:docId w15:val="{C9A9B379-3FB0-46B2-93D3-F7C88984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3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13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18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26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7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12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17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25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20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11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24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5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15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23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19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4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9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14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22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Relationship Id="rId27" Type="http://schemas.openxmlformats.org/officeDocument/2006/relationships/hyperlink" Target="file:///C:\Users\yahya\Desktop\%D9%85%D9%88%D8%A7%D9%82%D8%B9%20%D9%8A%D8%AD%D9%8A%D9%89%20%D9%85%D8%AD%D9%85%D8%AF\%D9%85%D9%88%D9%82%D8%B9%20%D9%81%D9%87%D9%85%20%D8%A7%D9%84%D8%AF%D9%8A%D9%86%20739\%D8%A7%D9%84%D9%85%D8%B3%D8%AA%D9%86%D8%B3%D8%AE%D8%A7%D8%AA%20%D9%81%D9%8A%20%D8%A7%D9%84%D9%85%D9%88%D9%82%D8%B9\%D9%86%D9%82%D8%AF%20%D8%A7%D9%84%D8%AA%D8%B1%D8%A7%D8%AB\%D9%86%D9%82%D8%AF%20%D8%A7%D9%84%D8%AA%D8%B1%D8%A7%D8%AB%20%D8%A7%D9%84%D8%B9%D9%82%D9%84%D9%8A\%D8%B9%D9%84%D9%85%20%D8%A7%D9%84%D9%83%D9%84%D8%A7%D9%85%20%D9%88%D8%A7%D9%84%D9%83%D9%84%D8%A7%D9%85%20%D8%A7%D9%84%D8%AC%D8%AF%D9%8A%D8%AF2013.d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2741</Words>
  <Characters>15624</Characters>
  <Application>Microsoft Office Word</Application>
  <DocSecurity>0</DocSecurity>
  <Lines>130</Lines>
  <Paragraphs>36</Paragraphs>
  <ScaleCrop>false</ScaleCrop>
  <Company/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FLL-ARABE</dc:creator>
  <cp:keywords/>
  <dc:description/>
  <cp:lastModifiedBy>ADABARABI-FLL</cp:lastModifiedBy>
  <cp:revision>2</cp:revision>
  <cp:lastPrinted>2021-01-22T19:01:00Z</cp:lastPrinted>
  <dcterms:created xsi:type="dcterms:W3CDTF">2021-01-22T18:59:00Z</dcterms:created>
  <dcterms:modified xsi:type="dcterms:W3CDTF">2021-01-27T13:03:00Z</dcterms:modified>
</cp:coreProperties>
</file>