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79" w:rsidRDefault="00B20E9A">
      <w:pPr>
        <w:pStyle w:val="a0"/>
        <w:bidi/>
        <w:jc w:val="center"/>
        <w:rPr>
          <w:rFonts w:ascii="Traditional Arabic" w:eastAsia="Traditional Arabic" w:hAnsi="Traditional Arabic" w:cs="Traditional Arabic"/>
          <w:b/>
          <w:bCs/>
          <w:color w:val="FF0000"/>
          <w:sz w:val="32"/>
          <w:szCs w:val="32"/>
          <w:u w:val="single" w:color="FF0000"/>
          <w:rtl/>
        </w:rPr>
      </w:pPr>
      <w:bookmarkStart w:id="0" w:name="_GoBack"/>
      <w:bookmarkEnd w:id="0"/>
      <w:r>
        <w:rPr>
          <w:rFonts w:ascii="Traditional Arabic" w:eastAsia="Traditional Arabic" w:hAnsi="Traditional Arabic" w:cs="Traditional Arabic"/>
          <w:b/>
          <w:bCs/>
          <w:color w:val="FF0000"/>
          <w:sz w:val="32"/>
          <w:szCs w:val="32"/>
          <w:u w:val="single" w:color="FF0000"/>
          <w:rtl/>
        </w:rPr>
        <w:t xml:space="preserve">محاضرة: </w:t>
      </w:r>
      <w:proofErr w:type="gramStart"/>
      <w:r>
        <w:rPr>
          <w:rFonts w:ascii="Traditional Arabic" w:eastAsia="Traditional Arabic" w:hAnsi="Traditional Arabic" w:cs="Traditional Arabic"/>
          <w:b/>
          <w:bCs/>
          <w:color w:val="FF0000"/>
          <w:sz w:val="32"/>
          <w:szCs w:val="32"/>
          <w:u w:val="single" w:color="FF0000"/>
          <w:rtl/>
        </w:rPr>
        <w:t>المتلقي</w:t>
      </w:r>
      <w:proofErr w:type="gramEnd"/>
      <w:r>
        <w:rPr>
          <w:rFonts w:ascii="Traditional Arabic" w:eastAsia="Traditional Arabic" w:hAnsi="Traditional Arabic" w:cs="Traditional Arabic"/>
          <w:b/>
          <w:bCs/>
          <w:color w:val="FF0000"/>
          <w:sz w:val="32"/>
          <w:szCs w:val="32"/>
          <w:u w:val="single" w:color="FF0000"/>
          <w:rtl/>
        </w:rPr>
        <w:t xml:space="preserve"> أو الجمهور</w:t>
      </w:r>
    </w:p>
    <w:p w:rsidR="00B44779" w:rsidRDefault="00B20E9A">
      <w:pPr>
        <w:pStyle w:val="a0"/>
        <w:bidi/>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 xml:space="preserve">     يقصد بالمتلقي في العملية الاتصالية المستقبل للرسالة، وهو العنصر المستهدف بها، ويعتبر الركن الثاني في العملية، ففي الاتصال الذاتي</w:t>
      </w:r>
      <w:r>
        <w:rPr>
          <w:rFonts w:ascii="Traditional Arabic" w:eastAsia="Traditional Arabic" w:hAnsi="Traditional Arabic" w:cs="Traditional Arabic"/>
          <w:sz w:val="32"/>
          <w:szCs w:val="32"/>
          <w:vertAlign w:val="superscript"/>
          <w:rtl/>
        </w:rPr>
        <w:footnoteReference w:id="2"/>
      </w:r>
      <w:r>
        <w:rPr>
          <w:rFonts w:ascii="Traditional Arabic" w:eastAsia="Traditional Arabic" w:hAnsi="Traditional Arabic" w:cs="Traditional Arabic"/>
          <w:sz w:val="32"/>
          <w:szCs w:val="32"/>
          <w:rtl/>
        </w:rPr>
        <w:t xml:space="preserve"> ( الداخلي، يكون المرسل هو نفسه المتلقي، أما الاتصال </w:t>
      </w:r>
      <w:proofErr w:type="spellStart"/>
      <w:r>
        <w:rPr>
          <w:rFonts w:ascii="Traditional Arabic" w:eastAsia="Traditional Arabic" w:hAnsi="Traditional Arabic" w:cs="Traditional Arabic"/>
          <w:sz w:val="32"/>
          <w:szCs w:val="32"/>
          <w:rtl/>
        </w:rPr>
        <w:t>المواجهي</w:t>
      </w:r>
      <w:proofErr w:type="spellEnd"/>
      <w:r>
        <w:rPr>
          <w:rFonts w:ascii="Traditional Arabic" w:eastAsia="Traditional Arabic" w:hAnsi="Traditional Arabic" w:cs="Traditional Arabic"/>
          <w:sz w:val="32"/>
          <w:szCs w:val="32"/>
          <w:rtl/>
        </w:rPr>
        <w:t xml:space="preserve"> يتحول المرسل في أحايين كثير إلى </w:t>
      </w:r>
      <w:r>
        <w:rPr>
          <w:rFonts w:ascii="Traditional Arabic" w:eastAsia="Traditional Arabic" w:hAnsi="Traditional Arabic" w:cs="Traditional Arabic"/>
          <w:sz w:val="32"/>
          <w:szCs w:val="32"/>
          <w:rtl/>
        </w:rPr>
        <w:t>مستقبل للرسائل التي تصدر عنه سوف تحددها الرسائل التي يتلقاها، وفي الاتصال الجماهيري، يأخذ الجمهور أو الجماهير صفة المتلقي للمضامين التي تصدر عن وسائل هذا الاتصال.</w:t>
      </w:r>
    </w:p>
    <w:p w:rsidR="00B44779" w:rsidRDefault="00B20E9A">
      <w:pPr>
        <w:pStyle w:val="a0"/>
        <w:bidi/>
        <w:jc w:val="both"/>
        <w:rPr>
          <w:rFonts w:ascii="Traditional Arabic" w:eastAsia="Traditional Arabic" w:hAnsi="Traditional Arabic" w:cs="Traditional Arabic"/>
          <w:b/>
          <w:bCs/>
          <w:sz w:val="32"/>
          <w:szCs w:val="32"/>
          <w:rtl/>
        </w:rPr>
      </w:pPr>
      <w:r>
        <w:rPr>
          <w:rFonts w:ascii="Traditional Arabic" w:eastAsia="Traditional Arabic" w:hAnsi="Traditional Arabic" w:cs="Traditional Arabic"/>
          <w:sz w:val="32"/>
          <w:szCs w:val="32"/>
          <w:lang w:val="fr-FR"/>
        </w:rPr>
        <w:t xml:space="preserve">      </w:t>
      </w:r>
      <w:r>
        <w:rPr>
          <w:rFonts w:ascii="Traditional Arabic" w:eastAsia="Traditional Arabic" w:hAnsi="Traditional Arabic" w:cs="Traditional Arabic"/>
          <w:b/>
          <w:bCs/>
          <w:sz w:val="32"/>
          <w:szCs w:val="32"/>
          <w:rtl/>
        </w:rPr>
        <w:t>محورية المتلقيّ في التعرض للرسالة:</w:t>
      </w:r>
    </w:p>
    <w:p w:rsidR="00B44779" w:rsidRDefault="00B20E9A">
      <w:pPr>
        <w:pStyle w:val="a0"/>
        <w:bidi/>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b/>
          <w:bCs/>
          <w:sz w:val="32"/>
          <w:szCs w:val="32"/>
          <w:lang w:val="fr-FR"/>
        </w:rPr>
        <w:t xml:space="preserve">     </w:t>
      </w:r>
      <w:r>
        <w:rPr>
          <w:rFonts w:ascii="Traditional Arabic" w:eastAsia="Traditional Arabic" w:hAnsi="Traditional Arabic" w:cs="Traditional Arabic"/>
          <w:sz w:val="32"/>
          <w:szCs w:val="32"/>
          <w:rtl/>
        </w:rPr>
        <w:t xml:space="preserve"> يقصد بها هنا المكانة الهامة التي يكتسبها المتع</w:t>
      </w:r>
      <w:r>
        <w:rPr>
          <w:rFonts w:ascii="Traditional Arabic" w:eastAsia="Traditional Arabic" w:hAnsi="Traditional Arabic" w:cs="Traditional Arabic"/>
          <w:sz w:val="32"/>
          <w:szCs w:val="32"/>
          <w:rtl/>
        </w:rPr>
        <w:t xml:space="preserve">رض للمضمون الإعلامي </w:t>
      </w:r>
      <w:proofErr w:type="spellStart"/>
      <w:r>
        <w:rPr>
          <w:rFonts w:ascii="Traditional Arabic" w:eastAsia="Traditional Arabic" w:hAnsi="Traditional Arabic" w:cs="Traditional Arabic"/>
          <w:sz w:val="32"/>
          <w:szCs w:val="32"/>
          <w:rtl/>
        </w:rPr>
        <w:t>الاتصالي</w:t>
      </w:r>
      <w:proofErr w:type="spellEnd"/>
      <w:r>
        <w:rPr>
          <w:rFonts w:ascii="Traditional Arabic" w:eastAsia="Traditional Arabic" w:hAnsi="Traditional Arabic" w:cs="Traditional Arabic"/>
          <w:sz w:val="32"/>
          <w:szCs w:val="32"/>
          <w:rtl/>
        </w:rPr>
        <w:t xml:space="preserve"> فهو –المتلقي- يحتل حلقة هامة في العملية، لذلك على القائم بالاتصال أن يعطي أمره اهتماما بليغا، إذ تبين أن تلقي طبيعة وخصائص المستقبل أو الجمهور المتلقي له مكانة لا يستهان بها، فالعنصر المستهدف بالفعل </w:t>
      </w:r>
      <w:proofErr w:type="spellStart"/>
      <w:r>
        <w:rPr>
          <w:rFonts w:ascii="Traditional Arabic" w:eastAsia="Traditional Arabic" w:hAnsi="Traditional Arabic" w:cs="Traditional Arabic"/>
          <w:sz w:val="32"/>
          <w:szCs w:val="32"/>
          <w:rtl/>
        </w:rPr>
        <w:t>الاتصالي</w:t>
      </w:r>
      <w:proofErr w:type="spellEnd"/>
      <w:r>
        <w:rPr>
          <w:rFonts w:ascii="Traditional Arabic" w:eastAsia="Traditional Arabic" w:hAnsi="Traditional Arabic" w:cs="Traditional Arabic"/>
          <w:sz w:val="32"/>
          <w:szCs w:val="32"/>
          <w:rtl/>
        </w:rPr>
        <w:t xml:space="preserve"> ذو قدرات عقلية واست</w:t>
      </w:r>
      <w:r>
        <w:rPr>
          <w:rFonts w:ascii="Traditional Arabic" w:eastAsia="Traditional Arabic" w:hAnsi="Traditional Arabic" w:cs="Traditional Arabic"/>
          <w:sz w:val="32"/>
          <w:szCs w:val="32"/>
          <w:rtl/>
        </w:rPr>
        <w:t>عدادات نفسية منها، التذكر الانتباه، تقليب النظر في الأفكار والمعلومات، مستويات مختلفة، النقد أو التقبل، إلى غير ذلك، وعليه وجب على القائم بالاتصال أن يكون على بينة من ثقافة وتوجهات ومعتقدات بيئة الرسالة، وحري أن يتفهمها ويستوعبها حتى يضمن حصول الهدف من الر</w:t>
      </w:r>
      <w:r>
        <w:rPr>
          <w:rFonts w:ascii="Traditional Arabic" w:eastAsia="Traditional Arabic" w:hAnsi="Traditional Arabic" w:cs="Traditional Arabic"/>
          <w:sz w:val="32"/>
          <w:szCs w:val="32"/>
          <w:rtl/>
        </w:rPr>
        <w:t>سالة، وغرس الأثر المراد.</w:t>
      </w:r>
    </w:p>
    <w:p w:rsidR="00B44779" w:rsidRDefault="00B20E9A">
      <w:pPr>
        <w:pStyle w:val="a0"/>
        <w:bidi/>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 xml:space="preserve">ففي علم الدعوة </w:t>
      </w:r>
      <w:proofErr w:type="gramStart"/>
      <w:r>
        <w:rPr>
          <w:rFonts w:ascii="Traditional Arabic" w:eastAsia="Traditional Arabic" w:hAnsi="Traditional Arabic" w:cs="Traditional Arabic"/>
          <w:sz w:val="32"/>
          <w:szCs w:val="32"/>
          <w:rtl/>
        </w:rPr>
        <w:t>مثلا ،</w:t>
      </w:r>
      <w:proofErr w:type="gramEnd"/>
      <w:r>
        <w:rPr>
          <w:rFonts w:ascii="Traditional Arabic" w:eastAsia="Traditional Arabic" w:hAnsi="Traditional Arabic" w:cs="Traditional Arabic"/>
          <w:sz w:val="32"/>
          <w:szCs w:val="32"/>
          <w:rtl/>
        </w:rPr>
        <w:t xml:space="preserve"> وهو  اتصالي، نجد أن فهم واقع المدعو وطبيعته مقدمة ضرورية لتلقي هذه العملية صداها بنجاح، في محاولة وصل هذا الأخير -المدعو- بالأسباب التي تمكنه من معرفة خالقه وعبادته وفق الطريق الذي رسمه الوحي.</w:t>
      </w:r>
    </w:p>
    <w:p w:rsidR="00B44779" w:rsidRDefault="00B20E9A">
      <w:pPr>
        <w:pStyle w:val="a0"/>
        <w:bidi/>
        <w:jc w:val="both"/>
        <w:rPr>
          <w:rFonts w:ascii="Traditional Arabic" w:eastAsia="Traditional Arabic" w:hAnsi="Traditional Arabic" w:cs="Traditional Arabic"/>
          <w:b/>
          <w:bCs/>
          <w:sz w:val="32"/>
          <w:szCs w:val="32"/>
          <w:rtl/>
        </w:rPr>
      </w:pPr>
      <w:proofErr w:type="gramStart"/>
      <w:r>
        <w:rPr>
          <w:rFonts w:ascii="Traditional Arabic" w:eastAsia="Traditional Arabic" w:hAnsi="Traditional Arabic" w:cs="Traditional Arabic"/>
          <w:sz w:val="32"/>
          <w:szCs w:val="32"/>
          <w:rtl/>
        </w:rPr>
        <w:t>إن</w:t>
      </w:r>
      <w:proofErr w:type="gramEnd"/>
      <w:r>
        <w:rPr>
          <w:rFonts w:ascii="Traditional Arabic" w:eastAsia="Traditional Arabic" w:hAnsi="Traditional Arabic" w:cs="Traditional Arabic"/>
          <w:sz w:val="32"/>
          <w:szCs w:val="32"/>
          <w:rtl/>
        </w:rPr>
        <w:t xml:space="preserve"> المتلقي </w:t>
      </w:r>
      <w:r>
        <w:rPr>
          <w:rFonts w:ascii="Traditional Arabic" w:eastAsia="Traditional Arabic" w:hAnsi="Traditional Arabic" w:cs="Traditional Arabic"/>
          <w:sz w:val="32"/>
          <w:szCs w:val="32"/>
          <w:rtl/>
        </w:rPr>
        <w:t>والجمهور الفعال لا يستقبل الرسالة أو يتأثر بها مباشرة، وإنما يقوم بعملية النقد والتمحيص لأفكاره، وانتقاء ما يلزم أو ما أمكنه فهمه واستيعابه منها حسب مستوى تعليمه من جهة ومن جهة أخرى مستوى خصائصه النفسية والاجتماعية.</w:t>
      </w:r>
    </w:p>
    <w:p w:rsidR="00B44779" w:rsidRDefault="00B44779">
      <w:pPr>
        <w:pStyle w:val="a0"/>
        <w:bidi/>
        <w:jc w:val="both"/>
        <w:rPr>
          <w:rFonts w:ascii="Times New Roman" w:eastAsia="Times New Roman" w:hAnsi="Times New Roman" w:cs="Times New Roman"/>
          <w:b/>
          <w:bCs/>
          <w:color w:val="FF0000"/>
          <w:sz w:val="32"/>
          <w:szCs w:val="32"/>
          <w:u w:val="single" w:color="FF0000"/>
          <w:rtl/>
        </w:rPr>
      </w:pPr>
    </w:p>
    <w:p w:rsidR="00B44779" w:rsidRDefault="00B44779">
      <w:pPr>
        <w:pStyle w:val="a0"/>
        <w:bidi/>
        <w:jc w:val="both"/>
        <w:rPr>
          <w:rFonts w:ascii="Times New Roman" w:eastAsia="Times New Roman" w:hAnsi="Times New Roman" w:cs="Times New Roman"/>
          <w:b/>
          <w:bCs/>
          <w:color w:val="FF0000"/>
          <w:sz w:val="32"/>
          <w:szCs w:val="32"/>
          <w:u w:val="single" w:color="FF0000"/>
          <w:rtl/>
        </w:rPr>
      </w:pPr>
    </w:p>
    <w:p w:rsidR="00B44779" w:rsidRDefault="00B44779">
      <w:pPr>
        <w:pStyle w:val="a0"/>
        <w:bidi/>
        <w:jc w:val="both"/>
        <w:rPr>
          <w:rFonts w:ascii="Traditional Arabic" w:eastAsia="Traditional Arabic" w:hAnsi="Traditional Arabic" w:cs="Traditional Arabic"/>
          <w:b/>
          <w:bCs/>
          <w:color w:val="FF0000"/>
          <w:sz w:val="32"/>
          <w:szCs w:val="32"/>
          <w:u w:color="FF0000"/>
          <w:rtl/>
        </w:rPr>
      </w:pPr>
    </w:p>
    <w:p w:rsidR="00B44779" w:rsidRDefault="00B20E9A">
      <w:pPr>
        <w:pStyle w:val="a0"/>
        <w:bidi/>
        <w:spacing w:after="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b/>
          <w:bCs/>
          <w:color w:val="FF0000"/>
          <w:sz w:val="32"/>
          <w:szCs w:val="32"/>
          <w:u w:color="FF0000"/>
          <w:rtl/>
        </w:rPr>
        <w:t xml:space="preserve">     </w:t>
      </w:r>
      <w:r>
        <w:rPr>
          <w:rFonts w:ascii="Traditional Arabic" w:eastAsia="Traditional Arabic" w:hAnsi="Traditional Arabic" w:cs="Traditional Arabic"/>
          <w:sz w:val="32"/>
          <w:szCs w:val="32"/>
          <w:rtl/>
        </w:rPr>
        <w:t>إن من متطلبات نجاح الرسالة ووجود</w:t>
      </w:r>
      <w:r>
        <w:rPr>
          <w:rFonts w:ascii="Traditional Arabic" w:eastAsia="Traditional Arabic" w:hAnsi="Traditional Arabic" w:cs="Traditional Arabic"/>
          <w:sz w:val="32"/>
          <w:szCs w:val="32"/>
          <w:rtl/>
        </w:rPr>
        <w:t xml:space="preserve"> صداها </w:t>
      </w:r>
      <w:proofErr w:type="gramStart"/>
      <w:r>
        <w:rPr>
          <w:rFonts w:ascii="Traditional Arabic" w:eastAsia="Traditional Arabic" w:hAnsi="Traditional Arabic" w:cs="Traditional Arabic"/>
          <w:sz w:val="32"/>
          <w:szCs w:val="32"/>
          <w:rtl/>
        </w:rPr>
        <w:t>المتوقع  لدى</w:t>
      </w:r>
      <w:proofErr w:type="gramEnd"/>
      <w:r>
        <w:rPr>
          <w:rFonts w:ascii="Traditional Arabic" w:eastAsia="Traditional Arabic" w:hAnsi="Traditional Arabic" w:cs="Traditional Arabic"/>
          <w:sz w:val="32"/>
          <w:szCs w:val="32"/>
          <w:rtl/>
        </w:rPr>
        <w:t xml:space="preserve"> المتلقي، أن تكون هناك عدة عوامل تسهم في فهم المتلقي لها وهي كالآتي:</w:t>
      </w:r>
    </w:p>
    <w:p w:rsidR="00B44779" w:rsidRDefault="00B44779">
      <w:pPr>
        <w:pStyle w:val="a0"/>
        <w:bidi/>
        <w:spacing w:after="0"/>
        <w:jc w:val="both"/>
        <w:rPr>
          <w:rFonts w:ascii="Traditional Arabic" w:eastAsia="Traditional Arabic" w:hAnsi="Traditional Arabic" w:cs="Traditional Arabic"/>
          <w:sz w:val="32"/>
          <w:szCs w:val="32"/>
          <w:rtl/>
        </w:rPr>
      </w:pPr>
    </w:p>
    <w:p w:rsidR="00B44779" w:rsidRDefault="00B20E9A">
      <w:pPr>
        <w:pStyle w:val="a0"/>
        <w:bidi/>
        <w:spacing w:after="0"/>
        <w:jc w:val="both"/>
        <w:rPr>
          <w:rFonts w:ascii="Traditional Arabic" w:eastAsia="Traditional Arabic" w:hAnsi="Traditional Arabic" w:cs="Traditional Arabic"/>
          <w:sz w:val="32"/>
          <w:szCs w:val="32"/>
          <w:rtl/>
        </w:rPr>
      </w:pPr>
      <w:proofErr w:type="gramStart"/>
      <w:r>
        <w:rPr>
          <w:rFonts w:ascii="Traditional Arabic" w:eastAsia="Traditional Arabic" w:hAnsi="Traditional Arabic" w:cs="Traditional Arabic"/>
          <w:color w:val="C0504D"/>
          <w:sz w:val="32"/>
          <w:szCs w:val="32"/>
          <w:rtl/>
        </w:rPr>
        <w:t>أولا</w:t>
      </w:r>
      <w:proofErr w:type="gramEnd"/>
      <w:r>
        <w:rPr>
          <w:rFonts w:ascii="Traditional Arabic" w:eastAsia="Traditional Arabic" w:hAnsi="Traditional Arabic" w:cs="Traditional Arabic"/>
          <w:sz w:val="32"/>
          <w:szCs w:val="32"/>
          <w:rtl/>
        </w:rPr>
        <w:t>: اللغة المشتركة والواضحة والمفهومة، فبقدر ما يكون الانسجام والتواصل سلسا، بقدر ما يكون هناك التقبل والفهم.</w:t>
      </w:r>
    </w:p>
    <w:p w:rsidR="00B44779" w:rsidRDefault="00B44779">
      <w:pPr>
        <w:pStyle w:val="a0"/>
        <w:bidi/>
        <w:spacing w:after="0"/>
        <w:jc w:val="both"/>
        <w:rPr>
          <w:rFonts w:ascii="Traditional Arabic" w:eastAsia="Traditional Arabic" w:hAnsi="Traditional Arabic" w:cs="Traditional Arabic"/>
          <w:sz w:val="32"/>
          <w:szCs w:val="32"/>
          <w:rtl/>
        </w:rPr>
      </w:pPr>
    </w:p>
    <w:p w:rsidR="00B44779" w:rsidRDefault="00B20E9A">
      <w:pPr>
        <w:pStyle w:val="a0"/>
        <w:bidi/>
        <w:spacing w:after="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color w:val="C0504D"/>
          <w:sz w:val="32"/>
          <w:szCs w:val="32"/>
          <w:rtl/>
        </w:rPr>
        <w:t>ثانيا</w:t>
      </w:r>
      <w:r>
        <w:rPr>
          <w:rFonts w:ascii="Traditional Arabic" w:eastAsia="Traditional Arabic" w:hAnsi="Traditional Arabic" w:cs="Traditional Arabic"/>
          <w:sz w:val="32"/>
          <w:szCs w:val="32"/>
          <w:rtl/>
        </w:rPr>
        <w:t xml:space="preserve">: وجود عنصر الثقة والاحترام والتقدير، فالاهتمام </w:t>
      </w:r>
      <w:proofErr w:type="spellStart"/>
      <w:r>
        <w:rPr>
          <w:rFonts w:ascii="Traditional Arabic" w:eastAsia="Traditional Arabic" w:hAnsi="Traditional Arabic" w:cs="Traditional Arabic"/>
          <w:sz w:val="32"/>
          <w:szCs w:val="32"/>
          <w:rtl/>
        </w:rPr>
        <w:t>ب</w:t>
      </w:r>
      <w:r>
        <w:rPr>
          <w:rFonts w:ascii="Traditional Arabic" w:eastAsia="Traditional Arabic" w:hAnsi="Traditional Arabic" w:cs="Traditional Arabic"/>
          <w:sz w:val="32"/>
          <w:szCs w:val="32"/>
          <w:rtl/>
        </w:rPr>
        <w:t>هاته</w:t>
      </w:r>
      <w:proofErr w:type="spellEnd"/>
      <w:r>
        <w:rPr>
          <w:rFonts w:ascii="Traditional Arabic" w:eastAsia="Traditional Arabic" w:hAnsi="Traditional Arabic" w:cs="Traditional Arabic"/>
          <w:sz w:val="32"/>
          <w:szCs w:val="32"/>
          <w:rtl/>
        </w:rPr>
        <w:t xml:space="preserve"> القيم المعنوية تعزز جانب الارتياح لدى المتلقي تجاه المرسل.</w:t>
      </w:r>
    </w:p>
    <w:p w:rsidR="00B44779" w:rsidRDefault="00B44779">
      <w:pPr>
        <w:pStyle w:val="a0"/>
        <w:bidi/>
        <w:spacing w:after="0"/>
        <w:jc w:val="both"/>
        <w:rPr>
          <w:rFonts w:ascii="Traditional Arabic" w:eastAsia="Traditional Arabic" w:hAnsi="Traditional Arabic" w:cs="Traditional Arabic"/>
          <w:sz w:val="32"/>
          <w:szCs w:val="32"/>
          <w:rtl/>
        </w:rPr>
      </w:pPr>
    </w:p>
    <w:p w:rsidR="00B44779" w:rsidRDefault="00B20E9A">
      <w:pPr>
        <w:pStyle w:val="a0"/>
        <w:bidi/>
        <w:spacing w:after="0"/>
        <w:jc w:val="both"/>
        <w:rPr>
          <w:rFonts w:ascii="Traditional Arabic" w:eastAsia="Traditional Arabic" w:hAnsi="Traditional Arabic" w:cs="Traditional Arabic"/>
          <w:sz w:val="32"/>
          <w:szCs w:val="32"/>
          <w:rtl/>
        </w:rPr>
      </w:pPr>
      <w:proofErr w:type="gramStart"/>
      <w:r>
        <w:rPr>
          <w:rFonts w:ascii="Traditional Arabic" w:eastAsia="Traditional Arabic" w:hAnsi="Traditional Arabic" w:cs="Traditional Arabic"/>
          <w:color w:val="C0504D"/>
          <w:sz w:val="32"/>
          <w:szCs w:val="32"/>
          <w:rtl/>
        </w:rPr>
        <w:t>ثالثا</w:t>
      </w:r>
      <w:proofErr w:type="gramEnd"/>
      <w:r>
        <w:rPr>
          <w:rFonts w:ascii="Traditional Arabic" w:eastAsia="Traditional Arabic" w:hAnsi="Traditional Arabic" w:cs="Traditional Arabic"/>
          <w:sz w:val="32"/>
          <w:szCs w:val="32"/>
          <w:rtl/>
        </w:rPr>
        <w:t>: الخلفية الثقافية والخبرة أو المعرفة بالموضوع في جملة من جوانبه تمهد للأفكار الجديدة والمعلومات أن تجد طريقها بشكل أسرع والعكس غير صحيح.</w:t>
      </w:r>
    </w:p>
    <w:p w:rsidR="00B44779" w:rsidRDefault="00B44779">
      <w:pPr>
        <w:pStyle w:val="a0"/>
        <w:bidi/>
        <w:spacing w:after="0"/>
        <w:jc w:val="both"/>
        <w:rPr>
          <w:rFonts w:ascii="Traditional Arabic" w:eastAsia="Traditional Arabic" w:hAnsi="Traditional Arabic" w:cs="Traditional Arabic"/>
          <w:sz w:val="32"/>
          <w:szCs w:val="32"/>
          <w:rtl/>
        </w:rPr>
      </w:pPr>
    </w:p>
    <w:p w:rsidR="00B44779" w:rsidRDefault="00B20E9A">
      <w:pPr>
        <w:pStyle w:val="a0"/>
        <w:bidi/>
        <w:spacing w:after="0"/>
        <w:jc w:val="both"/>
        <w:rPr>
          <w:rFonts w:ascii="Traditional Arabic" w:eastAsia="Traditional Arabic" w:hAnsi="Traditional Arabic" w:cs="Traditional Arabic"/>
          <w:sz w:val="32"/>
          <w:szCs w:val="32"/>
          <w:rtl/>
        </w:rPr>
      </w:pPr>
      <w:proofErr w:type="gramStart"/>
      <w:r>
        <w:rPr>
          <w:rFonts w:ascii="Traditional Arabic" w:eastAsia="Traditional Arabic" w:hAnsi="Traditional Arabic" w:cs="Traditional Arabic"/>
          <w:color w:val="C0504D"/>
          <w:sz w:val="32"/>
          <w:szCs w:val="32"/>
          <w:rtl/>
        </w:rPr>
        <w:t>رابعا</w:t>
      </w:r>
      <w:proofErr w:type="gramEnd"/>
      <w:r>
        <w:rPr>
          <w:rFonts w:ascii="Traditional Arabic" w:eastAsia="Traditional Arabic" w:hAnsi="Traditional Arabic" w:cs="Traditional Arabic"/>
          <w:sz w:val="32"/>
          <w:szCs w:val="32"/>
          <w:rtl/>
        </w:rPr>
        <w:t>: وجود الرغبة وعامل الاهتمام والانتباه وال</w:t>
      </w:r>
      <w:r>
        <w:rPr>
          <w:rFonts w:ascii="Traditional Arabic" w:eastAsia="Traditional Arabic" w:hAnsi="Traditional Arabic" w:cs="Traditional Arabic"/>
          <w:sz w:val="32"/>
          <w:szCs w:val="32"/>
          <w:rtl/>
        </w:rPr>
        <w:t>هدوء، وكذا حسن الاستماع والتركيز، إضافة إلى جانب الخبرة المشتركة، تتشكل فيما بينها عوامل هامة لفهم المتلقي لأبعاد الرسالة ومضامينها.</w:t>
      </w:r>
    </w:p>
    <w:p w:rsidR="00B44779" w:rsidRDefault="00B44779">
      <w:pPr>
        <w:pStyle w:val="a0"/>
        <w:bidi/>
        <w:spacing w:after="0"/>
        <w:jc w:val="both"/>
        <w:rPr>
          <w:rFonts w:ascii="Traditional Arabic" w:eastAsia="Traditional Arabic" w:hAnsi="Traditional Arabic" w:cs="Traditional Arabic"/>
          <w:sz w:val="32"/>
          <w:szCs w:val="32"/>
          <w:rtl/>
        </w:rPr>
      </w:pPr>
    </w:p>
    <w:p w:rsidR="00B44779" w:rsidRDefault="00B44779">
      <w:pPr>
        <w:pStyle w:val="a0"/>
        <w:bidi/>
        <w:jc w:val="both"/>
        <w:rPr>
          <w:rFonts w:ascii="Traditional Arabic" w:eastAsia="Traditional Arabic" w:hAnsi="Traditional Arabic" w:cs="Traditional Arabic"/>
          <w:sz w:val="32"/>
          <w:szCs w:val="32"/>
          <w:rtl/>
        </w:rPr>
      </w:pPr>
    </w:p>
    <w:p w:rsidR="00B44779" w:rsidRDefault="00B44779">
      <w:pPr>
        <w:pStyle w:val="a0"/>
        <w:bidi/>
        <w:jc w:val="both"/>
        <w:rPr>
          <w:rFonts w:ascii="Traditional Arabic" w:eastAsia="Traditional Arabic" w:hAnsi="Traditional Arabic" w:cs="Traditional Arabic"/>
          <w:b/>
          <w:bCs/>
          <w:color w:val="FF0000"/>
          <w:sz w:val="32"/>
          <w:szCs w:val="32"/>
          <w:u w:color="FF0000"/>
          <w:rtl/>
        </w:rPr>
      </w:pPr>
    </w:p>
    <w:p w:rsidR="00B44779" w:rsidRDefault="00B44779">
      <w:pPr>
        <w:pStyle w:val="a0"/>
        <w:bidi/>
        <w:jc w:val="both"/>
        <w:rPr>
          <w:rtl/>
        </w:rPr>
      </w:pPr>
    </w:p>
    <w:sectPr w:rsidR="00B44779">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9A" w:rsidRDefault="00B20E9A">
      <w:r>
        <w:separator/>
      </w:r>
    </w:p>
  </w:endnote>
  <w:endnote w:type="continuationSeparator" w:id="0">
    <w:p w:rsidR="00B20E9A" w:rsidRDefault="00B2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79" w:rsidRDefault="00B44779">
    <w:pPr>
      <w:pStyle w:val="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9A" w:rsidRDefault="00B20E9A">
      <w:r>
        <w:separator/>
      </w:r>
    </w:p>
  </w:footnote>
  <w:footnote w:type="continuationSeparator" w:id="0">
    <w:p w:rsidR="00B20E9A" w:rsidRDefault="00B20E9A">
      <w:r>
        <w:continuationSeparator/>
      </w:r>
    </w:p>
  </w:footnote>
  <w:footnote w:type="continuationNotice" w:id="1">
    <w:p w:rsidR="00B20E9A" w:rsidRDefault="00B20E9A"/>
  </w:footnote>
  <w:footnote w:id="2">
    <w:p w:rsidR="00B44779" w:rsidRDefault="00B20E9A">
      <w:pPr>
        <w:pStyle w:val="a1"/>
        <w:bidi/>
      </w:pPr>
      <w:r>
        <w:rPr>
          <w:vertAlign w:val="superscript"/>
        </w:rPr>
        <w:footnoteRef/>
      </w:r>
      <w:r>
        <w:rPr>
          <w:rFonts w:ascii="Traditional Arabic" w:eastAsia="Traditional Arabic" w:hAnsi="Traditional Arabic" w:cs="Traditional Arabic"/>
          <w:b/>
          <w:bCs/>
          <w:sz w:val="32"/>
          <w:szCs w:val="32"/>
          <w:u w:color="000000"/>
        </w:rPr>
        <w:t xml:space="preserve"> </w:t>
      </w:r>
      <w:r>
        <w:rPr>
          <w:rFonts w:ascii="Traditional Arabic" w:eastAsia="Traditional Arabic" w:hAnsi="Traditional Arabic" w:cs="Traditional Arabic"/>
          <w:b/>
          <w:bCs/>
          <w:sz w:val="32"/>
          <w:szCs w:val="32"/>
          <w:u w:color="000000"/>
          <w:rtl/>
          <w:lang w:val="ar-SA"/>
        </w:rPr>
        <w:t xml:space="preserve">  </w:t>
      </w:r>
      <w:r>
        <w:rPr>
          <w:rFonts w:ascii="Traditional Arabic" w:eastAsia="Traditional Arabic" w:hAnsi="Traditional Arabic" w:cs="Traditional Arabic" w:hint="cs"/>
          <w:sz w:val="32"/>
          <w:szCs w:val="32"/>
          <w:u w:color="000000"/>
          <w:rtl/>
          <w:lang w:val="ar-SA"/>
        </w:rPr>
        <w:t xml:space="preserve">من أشكال الاتصال الذاتي </w:t>
      </w:r>
      <w:r>
        <w:rPr>
          <w:rFonts w:ascii="Traditional Arabic" w:eastAsia="Traditional Arabic" w:hAnsi="Traditional Arabic" w:cs="Traditional Arabic"/>
          <w:sz w:val="32"/>
          <w:szCs w:val="32"/>
          <w:u w:color="000000"/>
          <w:rtl/>
          <w:lang w:val="ar-SA"/>
        </w:rPr>
        <w:t>:</w:t>
      </w:r>
      <w:r>
        <w:rPr>
          <w:rFonts w:ascii="Traditional Arabic" w:eastAsia="Traditional Arabic" w:hAnsi="Traditional Arabic" w:cs="Traditional Arabic"/>
          <w:b/>
          <w:bCs/>
          <w:sz w:val="32"/>
          <w:szCs w:val="32"/>
          <w:u w:color="000000"/>
          <w:rtl/>
          <w:lang w:val="ar-SA"/>
        </w:rPr>
        <w:t xml:space="preserve">  </w:t>
      </w:r>
      <w:r>
        <w:rPr>
          <w:rFonts w:ascii="Traditional Arabic" w:eastAsia="Traditional Arabic" w:hAnsi="Traditional Arabic" w:cs="Traditional Arabic" w:hint="cs"/>
          <w:sz w:val="32"/>
          <w:szCs w:val="32"/>
          <w:u w:color="000000"/>
          <w:rtl/>
          <w:lang w:val="ar-SA"/>
        </w:rPr>
        <w:t xml:space="preserve">النقد الذاتي </w:t>
      </w:r>
      <w:r>
        <w:rPr>
          <w:rFonts w:ascii="Traditional Arabic" w:eastAsia="Traditional Arabic" w:hAnsi="Traditional Arabic" w:cs="Traditional Arabic"/>
          <w:sz w:val="32"/>
          <w:szCs w:val="32"/>
          <w:u w:color="000000"/>
          <w:rtl/>
          <w:lang w:val="ar-SA"/>
        </w:rPr>
        <w:t xml:space="preserve">( </w:t>
      </w:r>
      <w:r>
        <w:rPr>
          <w:rFonts w:ascii="Traditional Arabic" w:eastAsia="Traditional Arabic" w:hAnsi="Traditional Arabic" w:cs="Traditional Arabic" w:hint="cs"/>
          <w:sz w:val="32"/>
          <w:szCs w:val="32"/>
          <w:u w:color="000000"/>
          <w:rtl/>
          <w:lang w:val="ar-SA"/>
        </w:rPr>
        <w:t xml:space="preserve">محاسبة النفس، أو ما يسمى بتأنيب </w:t>
      </w:r>
      <w:r>
        <w:rPr>
          <w:rFonts w:ascii="Traditional Arabic" w:eastAsia="Traditional Arabic" w:hAnsi="Traditional Arabic" w:cs="Traditional Arabic"/>
          <w:sz w:val="32"/>
          <w:szCs w:val="32"/>
          <w:u w:color="000000"/>
          <w:rtl/>
          <w:lang w:val="ar-SA"/>
        </w:rPr>
        <w:t>)</w:t>
      </w:r>
      <w:r>
        <w:rPr>
          <w:rFonts w:ascii="Traditional Arabic" w:eastAsia="Traditional Arabic" w:hAnsi="Traditional Arabic" w:cs="Traditional Arabic" w:hint="cs"/>
          <w:sz w:val="32"/>
          <w:szCs w:val="32"/>
          <w:u w:color="000000"/>
          <w:rtl/>
          <w:lang w:val="ar-SA"/>
        </w:rPr>
        <w:t xml:space="preserve">، مراجعة السلوكات الذاتية، التخطيط للمستقبل، محاولة تزويد النفس بقيم معنوية، كرفع الهمة، </w:t>
      </w:r>
      <w:r>
        <w:rPr>
          <w:rFonts w:ascii="Traditional Arabic" w:eastAsia="Traditional Arabic" w:hAnsi="Traditional Arabic" w:cs="Traditional Arabic"/>
          <w:sz w:val="32"/>
          <w:szCs w:val="32"/>
          <w:u w:color="000000"/>
          <w:rtl/>
          <w:lang w:val="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79" w:rsidRDefault="00B44779">
    <w:pPr>
      <w:pStyle w:val="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B44779"/>
    <w:rsid w:val="009A1BFB"/>
    <w:rsid w:val="00B20E9A"/>
    <w:rsid w:val="00B447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
    <w:name w:val="الرأس والتذييل"/>
    <w:pPr>
      <w:tabs>
        <w:tab w:val="right" w:pos="9020"/>
      </w:tabs>
    </w:pPr>
    <w:rPr>
      <w:rFonts w:ascii="Geeza Pro Regular" w:hAnsi="Geeza Pro Regular" w:cs="Arial Unicode MS"/>
      <w:color w:val="000000"/>
      <w:sz w:val="24"/>
      <w:szCs w:val="24"/>
    </w:rPr>
  </w:style>
  <w:style w:type="paragraph" w:customStyle="1" w:styleId="a0">
    <w:name w:val="النص"/>
    <w:pPr>
      <w:spacing w:after="200" w:line="276" w:lineRule="auto"/>
    </w:pPr>
    <w:rPr>
      <w:rFonts w:ascii="Calibri" w:eastAsia="Calibri" w:hAnsi="Calibri" w:cs="Calibri"/>
      <w:color w:val="000000"/>
      <w:sz w:val="22"/>
      <w:szCs w:val="22"/>
      <w:u w:color="000000"/>
      <w:lang w:val="ar-SA"/>
    </w:rPr>
  </w:style>
  <w:style w:type="paragraph" w:customStyle="1" w:styleId="a1">
    <w:name w:val="حاشية"/>
    <w:rPr>
      <w:rFonts w:ascii="Geeza Pro Regular" w:eastAsia="Geeza Pro Regular" w:hAnsi="Geeza Pro Regular" w:cs="Geeza Pro Regula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
    <w:name w:val="الرأس والتذييل"/>
    <w:pPr>
      <w:tabs>
        <w:tab w:val="right" w:pos="9020"/>
      </w:tabs>
    </w:pPr>
    <w:rPr>
      <w:rFonts w:ascii="Geeza Pro Regular" w:hAnsi="Geeza Pro Regular" w:cs="Arial Unicode MS"/>
      <w:color w:val="000000"/>
      <w:sz w:val="24"/>
      <w:szCs w:val="24"/>
    </w:rPr>
  </w:style>
  <w:style w:type="paragraph" w:customStyle="1" w:styleId="a0">
    <w:name w:val="النص"/>
    <w:pPr>
      <w:spacing w:after="200" w:line="276" w:lineRule="auto"/>
    </w:pPr>
    <w:rPr>
      <w:rFonts w:ascii="Calibri" w:eastAsia="Calibri" w:hAnsi="Calibri" w:cs="Calibri"/>
      <w:color w:val="000000"/>
      <w:sz w:val="22"/>
      <w:szCs w:val="22"/>
      <w:u w:color="000000"/>
      <w:lang w:val="ar-SA"/>
    </w:rPr>
  </w:style>
  <w:style w:type="paragraph" w:customStyle="1" w:styleId="a1">
    <w:name w:val="حاشية"/>
    <w:rPr>
      <w:rFonts w:ascii="Geeza Pro Regular" w:eastAsia="Geeza Pro Regular" w:hAnsi="Geeza Pro Regular" w:cs="Geeza Pro 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Geeza Pro Bold"/>
        <a:ea typeface="Geeza Pro Bold"/>
        <a:cs typeface="Geeza Pro Bold"/>
      </a:majorFont>
      <a:minorFont>
        <a:latin typeface="Geeza Pro Regular"/>
        <a:ea typeface="Geeza Pro Regular"/>
        <a:cs typeface="Geeza Pro Regular"/>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1844</Characters>
  <Application>Microsoft Office Word</Application>
  <DocSecurity>0</DocSecurity>
  <Lines>15</Lines>
  <Paragraphs>4</Paragraphs>
  <ScaleCrop>false</ScaleCrop>
  <Company>Toshiba</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2021-01-09T19:54:00Z</dcterms:created>
  <dcterms:modified xsi:type="dcterms:W3CDTF">2021-01-09T19:54:00Z</dcterms:modified>
</cp:coreProperties>
</file>