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EDA" w:rsidRPr="00362EDA" w:rsidRDefault="00813A84" w:rsidP="00362EDA">
      <w:pPr>
        <w:tabs>
          <w:tab w:val="left" w:pos="8222"/>
        </w:tabs>
        <w:ind w:left="-284" w:right="90"/>
        <w:jc w:val="right"/>
        <w:rPr>
          <w:rFonts w:ascii="Traditional Arabic" w:hAnsi="Traditional Arabic" w:cs="Traditional Arabic"/>
          <w:sz w:val="28"/>
          <w:szCs w:val="28"/>
          <w:rtl/>
          <w:lang w:bidi="ar-DZ"/>
        </w:rPr>
      </w:pPr>
      <w:r w:rsidRPr="00362EDA">
        <w:rPr>
          <w:rFonts w:ascii="Traditional Arabic" w:hAnsi="Traditional Arabic" w:cs="Traditional Arabic"/>
          <w:b/>
          <w:bCs/>
          <w:i/>
          <w:iCs/>
          <w:sz w:val="28"/>
          <w:szCs w:val="28"/>
          <w:highlight w:val="yellow"/>
          <w:u w:val="single"/>
          <w:rtl/>
          <w:lang w:bidi="ar-DZ"/>
        </w:rPr>
        <w:t>المحاضرة 06:</w:t>
      </w:r>
      <w:r w:rsidR="00362EDA" w:rsidRPr="00362EDA">
        <w:rPr>
          <w:rFonts w:ascii="Traditional Arabic" w:hAnsi="Traditional Arabic" w:cs="Traditional Arabic" w:hint="cs"/>
          <w:sz w:val="28"/>
          <w:szCs w:val="28"/>
          <w:rtl/>
          <w:lang w:bidi="ar-DZ"/>
        </w:rPr>
        <w:t xml:space="preserve"> </w:t>
      </w:r>
    </w:p>
    <w:p w:rsidR="00813A84" w:rsidRPr="00362EDA" w:rsidRDefault="00813A84" w:rsidP="00362EDA">
      <w:pPr>
        <w:ind w:left="567" w:right="368"/>
        <w:jc w:val="right"/>
        <w:rPr>
          <w:rFonts w:ascii="Traditional Arabic" w:hAnsi="Traditional Arabic" w:cs="Traditional Arabic"/>
          <w:b/>
          <w:bCs/>
          <w:i/>
          <w:iCs/>
          <w:sz w:val="28"/>
          <w:szCs w:val="28"/>
          <w:u w:val="single"/>
          <w:rtl/>
          <w:lang w:bidi="ar-DZ"/>
        </w:rPr>
      </w:pPr>
      <w:r w:rsidRPr="00362EDA">
        <w:rPr>
          <w:rFonts w:ascii="Traditional Arabic" w:hAnsi="Traditional Arabic" w:cs="Traditional Arabic"/>
          <w:b/>
          <w:bCs/>
          <w:i/>
          <w:iCs/>
          <w:sz w:val="28"/>
          <w:szCs w:val="28"/>
          <w:u w:val="single"/>
          <w:rtl/>
          <w:lang w:bidi="ar-DZ"/>
        </w:rPr>
        <w:t>الأفعال المؤسسة لسوسيولوجيا الفن</w:t>
      </w:r>
    </w:p>
    <w:p w:rsidR="00813A84" w:rsidRPr="00362EDA" w:rsidRDefault="00813A8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b/>
          <w:bCs/>
          <w:i/>
          <w:iCs/>
          <w:sz w:val="28"/>
          <w:szCs w:val="28"/>
          <w:u w:val="single"/>
          <w:rtl/>
          <w:lang w:bidi="ar-DZ"/>
        </w:rPr>
        <w:t xml:space="preserve">الهدف الخاص: </w:t>
      </w:r>
      <w:r w:rsidRPr="00362EDA">
        <w:rPr>
          <w:rFonts w:ascii="Traditional Arabic" w:hAnsi="Traditional Arabic" w:cs="Traditional Arabic"/>
          <w:sz w:val="28"/>
          <w:szCs w:val="28"/>
          <w:rtl/>
          <w:lang w:bidi="ar-DZ"/>
        </w:rPr>
        <w:t xml:space="preserve">يتعرف الطلبة على أهم الأفعال الأساسية التي أسست </w:t>
      </w:r>
      <w:r w:rsidR="00702FAB">
        <w:rPr>
          <w:rFonts w:ascii="Traditional Arabic" w:hAnsi="Traditional Arabic" w:cs="Traditional Arabic" w:hint="cs"/>
          <w:sz w:val="28"/>
          <w:szCs w:val="28"/>
          <w:rtl/>
          <w:lang w:bidi="ar-DZ"/>
        </w:rPr>
        <w:t>ل</w:t>
      </w:r>
      <w:r w:rsidRPr="00362EDA">
        <w:rPr>
          <w:rFonts w:ascii="Traditional Arabic" w:hAnsi="Traditional Arabic" w:cs="Traditional Arabic"/>
          <w:sz w:val="28"/>
          <w:szCs w:val="28"/>
          <w:rtl/>
          <w:lang w:bidi="ar-DZ"/>
        </w:rPr>
        <w:t>سوسيولوجيا الفن.</w:t>
      </w:r>
    </w:p>
    <w:p w:rsidR="00813A84" w:rsidRPr="00362EDA" w:rsidRDefault="00813A8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 xml:space="preserve">تمهيد: نروم من خلال هذه المحاضرة معرفة أهم الأفعال والأعمال التي أسست </w:t>
      </w:r>
      <w:r w:rsidR="00EA26A4">
        <w:rPr>
          <w:rFonts w:ascii="Traditional Arabic" w:hAnsi="Traditional Arabic" w:cs="Traditional Arabic" w:hint="cs"/>
          <w:sz w:val="28"/>
          <w:szCs w:val="28"/>
          <w:rtl/>
          <w:lang w:bidi="ar-DZ"/>
        </w:rPr>
        <w:t>ل</w:t>
      </w:r>
      <w:r w:rsidRPr="00362EDA">
        <w:rPr>
          <w:rFonts w:ascii="Traditional Arabic" w:hAnsi="Traditional Arabic" w:cs="Traditional Arabic"/>
          <w:sz w:val="28"/>
          <w:szCs w:val="28"/>
          <w:rtl/>
          <w:lang w:bidi="ar-DZ"/>
        </w:rPr>
        <w:t>سوسيولوجيا الفن, وذلك من خلال معرفة مورفولوجيا الجماهير التي تستهلك الفن, وتدفعه للبروز والريادة من حيث التقدير و</w:t>
      </w:r>
      <w:r w:rsidR="00BD734D">
        <w:rPr>
          <w:rFonts w:ascii="Traditional Arabic" w:hAnsi="Traditional Arabic" w:cs="Traditional Arabic"/>
          <w:sz w:val="28"/>
          <w:szCs w:val="28"/>
          <w:rtl/>
          <w:lang w:bidi="ar-DZ"/>
        </w:rPr>
        <w:t xml:space="preserve">التبجيل </w:t>
      </w:r>
      <w:r w:rsidR="00BD734D">
        <w:rPr>
          <w:rFonts w:ascii="Traditional Arabic" w:hAnsi="Traditional Arabic" w:cs="Traditional Arabic" w:hint="cs"/>
          <w:sz w:val="28"/>
          <w:szCs w:val="28"/>
          <w:rtl/>
          <w:lang w:bidi="ar-DZ"/>
        </w:rPr>
        <w:t>لل</w:t>
      </w:r>
      <w:r w:rsidRPr="00362EDA">
        <w:rPr>
          <w:rFonts w:ascii="Traditional Arabic" w:hAnsi="Traditional Arabic" w:cs="Traditional Arabic"/>
          <w:sz w:val="28"/>
          <w:szCs w:val="28"/>
          <w:rtl/>
          <w:lang w:bidi="ar-DZ"/>
        </w:rPr>
        <w:t xml:space="preserve">أعمال الفنية, كزيارة المتاحف مثلا, وشراء مختلف التحف الفنية ولكن متى بدأ التعرف على الجمهور الذي يتوق للفن وما هي مؤشرات ذلك؟ وماهي الأفعال التي أسست </w:t>
      </w:r>
      <w:r w:rsidR="00BD734D">
        <w:rPr>
          <w:rFonts w:ascii="Traditional Arabic" w:hAnsi="Traditional Arabic" w:cs="Traditional Arabic" w:hint="cs"/>
          <w:sz w:val="28"/>
          <w:szCs w:val="28"/>
          <w:rtl/>
          <w:lang w:bidi="ar-DZ"/>
        </w:rPr>
        <w:t>ل</w:t>
      </w:r>
      <w:r w:rsidRPr="00362EDA">
        <w:rPr>
          <w:rFonts w:ascii="Traditional Arabic" w:hAnsi="Traditional Arabic" w:cs="Traditional Arabic"/>
          <w:sz w:val="28"/>
          <w:szCs w:val="28"/>
          <w:rtl/>
          <w:lang w:bidi="ar-DZ"/>
        </w:rPr>
        <w:t>سوسيولوجيا الفن؟.</w:t>
      </w:r>
    </w:p>
    <w:p w:rsidR="00813A84" w:rsidRPr="00362EDA" w:rsidRDefault="00813A84" w:rsidP="00362EDA">
      <w:pPr>
        <w:ind w:left="567" w:right="368"/>
        <w:jc w:val="right"/>
        <w:rPr>
          <w:rFonts w:ascii="Traditional Arabic" w:hAnsi="Traditional Arabic" w:cs="Traditional Arabic"/>
          <w:b/>
          <w:bCs/>
          <w:i/>
          <w:iCs/>
          <w:sz w:val="28"/>
          <w:szCs w:val="28"/>
          <w:u w:val="single"/>
          <w:rtl/>
          <w:lang w:bidi="ar-DZ"/>
        </w:rPr>
      </w:pPr>
      <w:r w:rsidRPr="00362EDA">
        <w:rPr>
          <w:rFonts w:ascii="Traditional Arabic" w:hAnsi="Traditional Arabic" w:cs="Traditional Arabic"/>
          <w:b/>
          <w:bCs/>
          <w:i/>
          <w:iCs/>
          <w:sz w:val="28"/>
          <w:szCs w:val="28"/>
          <w:u w:val="single"/>
          <w:rtl/>
          <w:lang w:bidi="ar-DZ"/>
        </w:rPr>
        <w:t>مورفولوجيا الجماهير</w:t>
      </w:r>
      <w:r w:rsidRPr="00362EDA">
        <w:rPr>
          <w:rStyle w:val="Appelnotedebasdep"/>
          <w:rFonts w:ascii="Traditional Arabic" w:hAnsi="Traditional Arabic" w:cs="Traditional Arabic"/>
          <w:b/>
          <w:bCs/>
          <w:i/>
          <w:iCs/>
          <w:sz w:val="28"/>
          <w:szCs w:val="28"/>
          <w:u w:val="single"/>
          <w:rtl/>
          <w:lang w:bidi="ar-DZ"/>
        </w:rPr>
        <w:footnoteReference w:id="2"/>
      </w:r>
    </w:p>
    <w:p w:rsidR="006065B4" w:rsidRPr="00362EDA" w:rsidRDefault="00813A8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 xml:space="preserve">   إن أحد الأفعال المهمة التي أسست </w:t>
      </w:r>
      <w:r w:rsidR="000A5B58">
        <w:rPr>
          <w:rFonts w:ascii="Traditional Arabic" w:hAnsi="Traditional Arabic" w:cs="Traditional Arabic" w:hint="cs"/>
          <w:sz w:val="28"/>
          <w:szCs w:val="28"/>
          <w:rtl/>
          <w:lang w:bidi="ar-DZ"/>
        </w:rPr>
        <w:t>ل</w:t>
      </w:r>
      <w:r w:rsidRPr="00362EDA">
        <w:rPr>
          <w:rFonts w:ascii="Traditional Arabic" w:hAnsi="Traditional Arabic" w:cs="Traditional Arabic"/>
          <w:sz w:val="28"/>
          <w:szCs w:val="28"/>
          <w:rtl/>
          <w:lang w:bidi="ar-DZ"/>
        </w:rPr>
        <w:t xml:space="preserve">سوسيولوجيا الفن هو إعتماد مناهج التحقيقات والتحريات الاحصائية, التي كانت معتمدة في الولايات المتحدة الأمريكية في فترة ما بين الحربين, وضعها </w:t>
      </w:r>
      <w:r w:rsidRPr="00E21531">
        <w:rPr>
          <w:rFonts w:ascii="Traditional Arabic" w:hAnsi="Traditional Arabic" w:cs="Traditional Arabic"/>
          <w:b/>
          <w:bCs/>
          <w:i/>
          <w:iCs/>
          <w:sz w:val="28"/>
          <w:szCs w:val="28"/>
          <w:rtl/>
          <w:lang w:bidi="ar-DZ"/>
        </w:rPr>
        <w:t>بول لازار سفيلد</w:t>
      </w:r>
      <w:r w:rsidRPr="00362EDA">
        <w:rPr>
          <w:rFonts w:ascii="Traditional Arabic" w:hAnsi="Traditional Arabic" w:cs="Traditional Arabic"/>
          <w:sz w:val="28"/>
          <w:szCs w:val="28"/>
          <w:rtl/>
          <w:lang w:bidi="ar-DZ"/>
        </w:rPr>
        <w:t xml:space="preserve"> التي قام بتطبيقها على رواد متاحف الفنون, فبعدما كانت استقصاءات الرأي مقتصرة على </w:t>
      </w:r>
      <w:r w:rsidR="003F37F3" w:rsidRPr="00362EDA">
        <w:rPr>
          <w:rFonts w:ascii="Traditional Arabic" w:hAnsi="Traditional Arabic" w:cs="Traditional Arabic"/>
          <w:sz w:val="28"/>
          <w:szCs w:val="28"/>
          <w:rtl/>
          <w:lang w:bidi="ar-DZ"/>
        </w:rPr>
        <w:t>سبر الآراء في ميداني التجارة والسياسة, اتضحت فعالياتها في قياس اختلاف أنماط السلوك تبعا ل</w:t>
      </w:r>
      <w:r w:rsidR="00E21531">
        <w:rPr>
          <w:rFonts w:ascii="Traditional Arabic" w:hAnsi="Traditional Arabic" w:cs="Traditional Arabic" w:hint="cs"/>
          <w:sz w:val="28"/>
          <w:szCs w:val="28"/>
          <w:rtl/>
          <w:lang w:bidi="ar-DZ"/>
        </w:rPr>
        <w:t>لإ</w:t>
      </w:r>
      <w:r w:rsidR="003F37F3" w:rsidRPr="00362EDA">
        <w:rPr>
          <w:rFonts w:ascii="Traditional Arabic" w:hAnsi="Traditional Arabic" w:cs="Traditional Arabic"/>
          <w:sz w:val="28"/>
          <w:szCs w:val="28"/>
          <w:rtl/>
          <w:lang w:bidi="ar-DZ"/>
        </w:rPr>
        <w:t>نتماءات الديمغرافية/ الاجتماعية(أي العمر والجنس الأصل الاجتماعي, الوسط الاجتماعي, المستوى التعليمي, المدخول الم</w:t>
      </w:r>
      <w:r w:rsidR="001263D2">
        <w:rPr>
          <w:rFonts w:ascii="Traditional Arabic" w:hAnsi="Traditional Arabic" w:cs="Traditional Arabic"/>
          <w:sz w:val="28"/>
          <w:szCs w:val="28"/>
          <w:rtl/>
          <w:lang w:bidi="ar-DZ"/>
        </w:rPr>
        <w:t xml:space="preserve">الي...) وفي تغير ذلك الاختلاف </w:t>
      </w:r>
      <w:r w:rsidR="001263D2">
        <w:rPr>
          <w:rFonts w:ascii="Traditional Arabic" w:hAnsi="Traditional Arabic" w:cs="Traditional Arabic" w:hint="cs"/>
          <w:sz w:val="28"/>
          <w:szCs w:val="28"/>
          <w:rtl/>
          <w:lang w:bidi="ar-DZ"/>
        </w:rPr>
        <w:t>بت</w:t>
      </w:r>
      <w:r w:rsidR="003F37F3" w:rsidRPr="00362EDA">
        <w:rPr>
          <w:rFonts w:ascii="Traditional Arabic" w:hAnsi="Traditional Arabic" w:cs="Traditional Arabic"/>
          <w:sz w:val="28"/>
          <w:szCs w:val="28"/>
          <w:rtl/>
          <w:lang w:bidi="ar-DZ"/>
        </w:rPr>
        <w:t>لك الانتماءات</w:t>
      </w:r>
      <w:r w:rsidR="003F37F3" w:rsidRPr="00362EDA">
        <w:rPr>
          <w:rStyle w:val="Appelnotedebasdep"/>
          <w:rFonts w:ascii="Traditional Arabic" w:hAnsi="Traditional Arabic" w:cs="Traditional Arabic"/>
          <w:sz w:val="28"/>
          <w:szCs w:val="28"/>
          <w:rtl/>
          <w:lang w:bidi="ar-DZ"/>
        </w:rPr>
        <w:footnoteReference w:id="3"/>
      </w:r>
      <w:r w:rsidR="003F37F3" w:rsidRPr="00362EDA">
        <w:rPr>
          <w:rFonts w:ascii="Traditional Arabic" w:hAnsi="Traditional Arabic" w:cs="Traditional Arabic"/>
          <w:sz w:val="28"/>
          <w:szCs w:val="28"/>
          <w:rtl/>
          <w:lang w:bidi="ar-DZ"/>
        </w:rPr>
        <w:t>, كما نجد كذلك بيابوردور انطلق في تحليله من مجموعة من المعطيات المتشابهة لهذه المؤشرات, حيث يرى بورديو بأن الموقع الاجتماعي للشخص, وقدر السلطة والتأثير المقاس له على كم" رأس المال" الذي يملكه وهناك نوعان أساسيان من رأس المال, الأول هو رأس المال الاقتصادي وهو ببساطة كم المال المتاح للشخص, لكن هناك أيضا رأس المال الثقافي ويعني نصيب الشخص من المعرفة بالث</w:t>
      </w:r>
      <w:r w:rsidR="00D250E2">
        <w:rPr>
          <w:rFonts w:ascii="Traditional Arabic" w:hAnsi="Traditional Arabic" w:cs="Traditional Arabic"/>
          <w:sz w:val="28"/>
          <w:szCs w:val="28"/>
          <w:rtl/>
          <w:lang w:bidi="ar-DZ"/>
        </w:rPr>
        <w:t xml:space="preserve">قافة الرفيعة </w:t>
      </w:r>
      <w:r w:rsidR="00D250E2">
        <w:rPr>
          <w:rFonts w:ascii="Traditional Arabic" w:hAnsi="Traditional Arabic" w:cs="Traditional Arabic" w:hint="cs"/>
          <w:sz w:val="28"/>
          <w:szCs w:val="28"/>
          <w:rtl/>
          <w:lang w:bidi="ar-DZ"/>
        </w:rPr>
        <w:t>ل</w:t>
      </w:r>
      <w:r w:rsidR="003F37F3" w:rsidRPr="00362EDA">
        <w:rPr>
          <w:rFonts w:ascii="Traditional Arabic" w:hAnsi="Traditional Arabic" w:cs="Traditional Arabic"/>
          <w:sz w:val="28"/>
          <w:szCs w:val="28"/>
          <w:rtl/>
          <w:lang w:bidi="ar-DZ"/>
        </w:rPr>
        <w:t>لجماعة المسيطرة في المجتمعات المعاصرة من الوجهة الثقافية هي الطبقات الوسطى العليا, البرجوازية الثقافية, تتألف هذه المجموعة من أناس من المستويات المهنية العليا كالطب والقانون, وهم في موقع السلطة على بقية المجموعات الرئيسية من الطبقات الوسطى والدنيا (مدرسي المدارس, الممرضون) والطبقات العاملة, وهذا ليس فقط بسبب امتلاكهم قوة مالية أكبر مما عند المجموعات الأخرى بل أيضا لأن حضهم من رأس المال الثقافي أكبر كذلك , وفي رأي بورديو أن السلطة الثقافية للطبقة المتوسطة العليا يعاد إنتاجها وتتجدد بشكل مستمر, لأن الناس في الطبقات الأخرى يشعرون بأنهم أذنى منها ثقافيا... ويؤكد بورديو بأن الطبقة المتوسطة العليا ت</w:t>
      </w:r>
      <w:r w:rsidR="00DA565A">
        <w:rPr>
          <w:rFonts w:ascii="Traditional Arabic" w:hAnsi="Traditional Arabic" w:cs="Traditional Arabic" w:hint="cs"/>
          <w:sz w:val="28"/>
          <w:szCs w:val="28"/>
          <w:rtl/>
          <w:lang w:bidi="ar-DZ"/>
        </w:rPr>
        <w:t>ض</w:t>
      </w:r>
      <w:r w:rsidR="003F37F3" w:rsidRPr="00362EDA">
        <w:rPr>
          <w:rFonts w:ascii="Traditional Arabic" w:hAnsi="Traditional Arabic" w:cs="Traditional Arabic"/>
          <w:sz w:val="28"/>
          <w:szCs w:val="28"/>
          <w:rtl/>
          <w:lang w:bidi="ar-DZ"/>
        </w:rPr>
        <w:t xml:space="preserve">طهد المجموعات الأخرى في المجتمع ليس فقط من الناحية الاقتصادية بل من الناحية الثقافية أيضا ويذهب بورديو إلى تأكيده </w:t>
      </w:r>
      <w:r w:rsidR="006065B4" w:rsidRPr="00362EDA">
        <w:rPr>
          <w:rFonts w:ascii="Traditional Arabic" w:hAnsi="Traditional Arabic" w:cs="Traditional Arabic"/>
          <w:sz w:val="28"/>
          <w:szCs w:val="28"/>
          <w:rtl/>
          <w:lang w:bidi="ar-DZ"/>
        </w:rPr>
        <w:t>بأن</w:t>
      </w:r>
      <w:r w:rsidR="00DE0A4C">
        <w:rPr>
          <w:rFonts w:ascii="Traditional Arabic" w:hAnsi="Traditional Arabic" w:cs="Traditional Arabic" w:hint="cs"/>
          <w:sz w:val="28"/>
          <w:szCs w:val="28"/>
          <w:rtl/>
          <w:lang w:bidi="ar-DZ"/>
        </w:rPr>
        <w:t>ه</w:t>
      </w:r>
      <w:r w:rsidR="006065B4" w:rsidRPr="00362EDA">
        <w:rPr>
          <w:rFonts w:ascii="Traditional Arabic" w:hAnsi="Traditional Arabic" w:cs="Traditional Arabic"/>
          <w:sz w:val="28"/>
          <w:szCs w:val="28"/>
          <w:rtl/>
          <w:lang w:bidi="ar-DZ"/>
        </w:rPr>
        <w:t xml:space="preserve"> لايوجد هناك ثقافة رفيعة جيدة وثقافة رفيعة سيئة, فالثقافة أو </w:t>
      </w:r>
      <w:r w:rsidR="006065B4" w:rsidRPr="00362EDA">
        <w:rPr>
          <w:rFonts w:ascii="Traditional Arabic" w:hAnsi="Traditional Arabic" w:cs="Traditional Arabic"/>
          <w:sz w:val="28"/>
          <w:szCs w:val="28"/>
          <w:rtl/>
          <w:lang w:bidi="ar-DZ"/>
        </w:rPr>
        <w:lastRenderedPageBreak/>
        <w:t>شكل الثقافة التي تشكلها البرجوازية الثقافية هي التي تشكلت بفعل نمط التنشئة ال</w:t>
      </w:r>
      <w:r w:rsidR="000A6CC6">
        <w:rPr>
          <w:rFonts w:ascii="Traditional Arabic" w:hAnsi="Traditional Arabic" w:cs="Traditional Arabic"/>
          <w:sz w:val="28"/>
          <w:szCs w:val="28"/>
          <w:rtl/>
          <w:lang w:bidi="ar-DZ"/>
        </w:rPr>
        <w:t>اجتماعية الذي زودها بمجموعة مع</w:t>
      </w:r>
      <w:r w:rsidR="000A6CC6">
        <w:rPr>
          <w:rFonts w:ascii="Traditional Arabic" w:hAnsi="Traditional Arabic" w:cs="Traditional Arabic" w:hint="cs"/>
          <w:sz w:val="28"/>
          <w:szCs w:val="28"/>
          <w:rtl/>
          <w:lang w:bidi="ar-DZ"/>
        </w:rPr>
        <w:t>ين</w:t>
      </w:r>
      <w:r w:rsidR="006065B4" w:rsidRPr="00362EDA">
        <w:rPr>
          <w:rFonts w:ascii="Traditional Arabic" w:hAnsi="Traditional Arabic" w:cs="Traditional Arabic"/>
          <w:sz w:val="28"/>
          <w:szCs w:val="28"/>
          <w:rtl/>
          <w:lang w:bidi="ar-DZ"/>
        </w:rPr>
        <w:t>ة من الميول والسمات, لكل مجموعة طبقية طابع ثقافي هابيتيس خاص بها بمعنى مجموعة الميولات والأدواق المميزة لظروف حياة تلك الطبقة</w:t>
      </w:r>
      <w:r w:rsidR="006065B4" w:rsidRPr="00362EDA">
        <w:rPr>
          <w:rStyle w:val="Appelnotedebasdep"/>
          <w:rFonts w:ascii="Traditional Arabic" w:hAnsi="Traditional Arabic" w:cs="Traditional Arabic"/>
          <w:sz w:val="28"/>
          <w:szCs w:val="28"/>
          <w:rtl/>
          <w:lang w:bidi="ar-DZ"/>
        </w:rPr>
        <w:footnoteReference w:id="4"/>
      </w:r>
      <w:r w:rsidR="001C7E28">
        <w:rPr>
          <w:rFonts w:ascii="Traditional Arabic" w:hAnsi="Traditional Arabic" w:cs="Traditional Arabic"/>
          <w:sz w:val="28"/>
          <w:szCs w:val="28"/>
          <w:rtl/>
          <w:lang w:bidi="ar-DZ"/>
        </w:rPr>
        <w:t xml:space="preserve">, ومن ثم </w:t>
      </w:r>
      <w:r w:rsidR="001C7E28">
        <w:rPr>
          <w:rFonts w:ascii="Traditional Arabic" w:hAnsi="Traditional Arabic" w:cs="Traditional Arabic" w:hint="cs"/>
          <w:sz w:val="28"/>
          <w:szCs w:val="28"/>
          <w:rtl/>
          <w:lang w:bidi="ar-DZ"/>
        </w:rPr>
        <w:t>فإن</w:t>
      </w:r>
      <w:r w:rsidR="006065B4" w:rsidRPr="00362EDA">
        <w:rPr>
          <w:rFonts w:ascii="Traditional Arabic" w:hAnsi="Traditional Arabic" w:cs="Traditional Arabic"/>
          <w:sz w:val="28"/>
          <w:szCs w:val="28"/>
          <w:rtl/>
          <w:lang w:bidi="ar-DZ"/>
        </w:rPr>
        <w:t xml:space="preserve"> كل طبقة اجتماعية أو ثقافية طابع ثقافي خاص بها ومكانة كذلك ثقافية خاصة بها ونظرة ثقافية للأشياء الثقافية خاصة بها.</w:t>
      </w:r>
    </w:p>
    <w:p w:rsidR="00643794" w:rsidRPr="00362EDA" w:rsidRDefault="0064379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ويمكن اعتبار أن بيار بورديو أول من نقل الدراسة الاحصائية من عالم التجارة والسياسة إلى عالم الثقافة, فالبحث الميداني الذي اعتمد لتلبية حاجات المتاحف الأوروبية وتولاه فريق من الباحثين مهد السبيل أمام إشكاليات جديدة في مجال العادات والأفعال الثقافية, فكتاب حب الفن الذي ألفه بالتعاون مع آلان دربال سنة 1966 كان بالنسبة لبعض المفاهيم المجردة التي تدرس في الجا</w:t>
      </w:r>
      <w:r w:rsidR="001C7E28">
        <w:rPr>
          <w:rFonts w:ascii="Traditional Arabic" w:hAnsi="Traditional Arabic" w:cs="Traditional Arabic"/>
          <w:sz w:val="28"/>
          <w:szCs w:val="28"/>
          <w:rtl/>
          <w:lang w:bidi="ar-DZ"/>
        </w:rPr>
        <w:t>معات عملا تجديديا رائعا حيث أ</w:t>
      </w:r>
      <w:r w:rsidR="001C7E28">
        <w:rPr>
          <w:rFonts w:ascii="Traditional Arabic" w:hAnsi="Traditional Arabic" w:cs="Traditional Arabic" w:hint="cs"/>
          <w:sz w:val="28"/>
          <w:szCs w:val="28"/>
          <w:rtl/>
          <w:lang w:bidi="ar-DZ"/>
        </w:rPr>
        <w:t>ف</w:t>
      </w:r>
      <w:r w:rsidR="00FA02E9">
        <w:rPr>
          <w:rFonts w:ascii="Traditional Arabic" w:hAnsi="Traditional Arabic" w:cs="Traditional Arabic"/>
          <w:sz w:val="28"/>
          <w:szCs w:val="28"/>
          <w:rtl/>
          <w:lang w:bidi="ar-DZ"/>
        </w:rPr>
        <w:t>ضى إلى بعض الخلاصات التي غ</w:t>
      </w:r>
      <w:r w:rsidR="00FA02E9">
        <w:rPr>
          <w:rFonts w:ascii="Traditional Arabic" w:hAnsi="Traditional Arabic" w:cs="Traditional Arabic" w:hint="cs"/>
          <w:sz w:val="28"/>
          <w:szCs w:val="28"/>
          <w:rtl/>
          <w:lang w:bidi="ar-DZ"/>
        </w:rPr>
        <w:t>ذ</w:t>
      </w:r>
      <w:r w:rsidRPr="00362EDA">
        <w:rPr>
          <w:rFonts w:ascii="Traditional Arabic" w:hAnsi="Traditional Arabic" w:cs="Traditional Arabic"/>
          <w:sz w:val="28"/>
          <w:szCs w:val="28"/>
          <w:rtl/>
          <w:lang w:bidi="ar-DZ"/>
        </w:rPr>
        <w:t>ت نهائيا طرح المسأ</w:t>
      </w:r>
      <w:r w:rsidR="00FA02E9">
        <w:rPr>
          <w:rFonts w:ascii="Traditional Arabic" w:hAnsi="Traditional Arabic" w:cs="Traditional Arabic" w:hint="cs"/>
          <w:sz w:val="28"/>
          <w:szCs w:val="28"/>
          <w:rtl/>
          <w:lang w:bidi="ar-DZ"/>
        </w:rPr>
        <w:t>ل</w:t>
      </w:r>
      <w:r w:rsidRPr="00362EDA">
        <w:rPr>
          <w:rFonts w:ascii="Traditional Arabic" w:hAnsi="Traditional Arabic" w:cs="Traditional Arabic"/>
          <w:sz w:val="28"/>
          <w:szCs w:val="28"/>
          <w:rtl/>
          <w:lang w:bidi="ar-DZ"/>
        </w:rPr>
        <w:t>ة ومقاربتها ونعني المسألة الثقافية</w:t>
      </w:r>
      <w:r w:rsidRPr="00362EDA">
        <w:rPr>
          <w:rStyle w:val="Appelnotedebasdep"/>
          <w:rFonts w:ascii="Traditional Arabic" w:hAnsi="Traditional Arabic" w:cs="Traditional Arabic"/>
          <w:sz w:val="28"/>
          <w:szCs w:val="28"/>
          <w:rtl/>
          <w:lang w:bidi="ar-DZ"/>
        </w:rPr>
        <w:footnoteReference w:id="5"/>
      </w:r>
      <w:r w:rsidRPr="00362EDA">
        <w:rPr>
          <w:rFonts w:ascii="Traditional Arabic" w:hAnsi="Traditional Arabic" w:cs="Traditional Arabic"/>
          <w:sz w:val="28"/>
          <w:szCs w:val="28"/>
          <w:rtl/>
          <w:lang w:bidi="ar-DZ"/>
        </w:rPr>
        <w:t xml:space="preserve">, ومن أهم هذه الخلاصات مايلي: </w:t>
      </w:r>
    </w:p>
    <w:p w:rsidR="00643794" w:rsidRPr="00362EDA" w:rsidRDefault="0064379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1- لم يعد بالإمكان الكلام عن الجمهور على نحو ماكان يدع إليه حتى ذلك الحين بأنه مجرد عدد الزائرين, وأنه أصبح يجب الكلام عن جماهير متباينة إجتماعيا بحسب المرتبة أو الفئة الاجتماعية. فذلك التراتب الاجتماعي يكشف عن تفاوت اجتماعي هائل على صعيد الدخول في ثقافة متاحف الفن</w:t>
      </w:r>
      <w:r w:rsidRPr="00362EDA">
        <w:rPr>
          <w:rStyle w:val="Appelnotedebasdep"/>
          <w:rFonts w:ascii="Traditional Arabic" w:hAnsi="Traditional Arabic" w:cs="Traditional Arabic"/>
          <w:sz w:val="28"/>
          <w:szCs w:val="28"/>
          <w:rtl/>
          <w:lang w:bidi="ar-DZ"/>
        </w:rPr>
        <w:footnoteReference w:id="6"/>
      </w:r>
      <w:r w:rsidRPr="00362EDA">
        <w:rPr>
          <w:rFonts w:ascii="Traditional Arabic" w:hAnsi="Traditional Arabic" w:cs="Traditional Arabic"/>
          <w:sz w:val="28"/>
          <w:szCs w:val="28"/>
          <w:rtl/>
          <w:lang w:bidi="ar-DZ"/>
        </w:rPr>
        <w:t>.</w:t>
      </w:r>
    </w:p>
    <w:p w:rsidR="00D55CDB" w:rsidRPr="00362EDA" w:rsidRDefault="00643794"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2- يتيح اعتماد عامل الأصل الاجتماعي إيضاح تأثير هذا الأصل في حين</w:t>
      </w:r>
      <w:r w:rsidR="00312821">
        <w:rPr>
          <w:rFonts w:ascii="Traditional Arabic" w:hAnsi="Traditional Arabic" w:cs="Traditional Arabic"/>
          <w:sz w:val="28"/>
          <w:szCs w:val="28"/>
          <w:rtl/>
          <w:lang w:bidi="ar-DZ"/>
        </w:rPr>
        <w:t xml:space="preserve"> أن حب الفن كان تقليديا, ويجعل </w:t>
      </w:r>
      <w:r w:rsidR="00312821">
        <w:rPr>
          <w:rFonts w:ascii="Traditional Arabic" w:hAnsi="Traditional Arabic" w:cs="Traditional Arabic" w:hint="cs"/>
          <w:sz w:val="28"/>
          <w:szCs w:val="28"/>
          <w:rtl/>
          <w:lang w:bidi="ar-DZ"/>
        </w:rPr>
        <w:t>ذ</w:t>
      </w:r>
      <w:r w:rsidRPr="00362EDA">
        <w:rPr>
          <w:rFonts w:ascii="Traditional Arabic" w:hAnsi="Traditional Arabic" w:cs="Traditional Arabic"/>
          <w:sz w:val="28"/>
          <w:szCs w:val="28"/>
          <w:rtl/>
          <w:lang w:bidi="ar-DZ"/>
        </w:rPr>
        <w:t>لك التأثير أو تجاهله ينسب إلى الاستعدادات الشخصية حيث وجه بورديو نقدا لاذعا إلى الاعتقاد بفطرية الميول</w:t>
      </w:r>
      <w:r w:rsidR="003B324A">
        <w:rPr>
          <w:rFonts w:ascii="Traditional Arabic" w:hAnsi="Traditional Arabic" w:cs="Traditional Arabic" w:hint="cs"/>
          <w:sz w:val="28"/>
          <w:szCs w:val="28"/>
          <w:rtl/>
          <w:lang w:bidi="ar-DZ"/>
        </w:rPr>
        <w:t>ات</w:t>
      </w:r>
      <w:r w:rsidRPr="00362EDA">
        <w:rPr>
          <w:rFonts w:ascii="Traditional Arabic" w:hAnsi="Traditional Arabic" w:cs="Traditional Arabic"/>
          <w:sz w:val="28"/>
          <w:szCs w:val="28"/>
          <w:rtl/>
          <w:lang w:bidi="ar-DZ"/>
        </w:rPr>
        <w:t xml:space="preserve"> الثقافية, وأوضح الدور الأساسي </w:t>
      </w:r>
      <w:r w:rsidR="00D55CDB" w:rsidRPr="00362EDA">
        <w:rPr>
          <w:rFonts w:ascii="Traditional Arabic" w:hAnsi="Traditional Arabic" w:cs="Traditional Arabic"/>
          <w:sz w:val="28"/>
          <w:szCs w:val="28"/>
          <w:rtl/>
          <w:lang w:bidi="ar-DZ"/>
        </w:rPr>
        <w:t>للتلقين العائلي, حيث أن وهم الميل المحض والمجرد لا يعود</w:t>
      </w:r>
      <w:r w:rsidR="00BC26B5">
        <w:rPr>
          <w:rFonts w:ascii="Traditional Arabic" w:hAnsi="Traditional Arabic" w:cs="Traditional Arabic"/>
          <w:sz w:val="28"/>
          <w:szCs w:val="28"/>
          <w:rtl/>
          <w:lang w:bidi="ar-DZ"/>
        </w:rPr>
        <w:t xml:space="preserve"> إلا لذاتي</w:t>
      </w:r>
      <w:r w:rsidR="00BC26B5">
        <w:rPr>
          <w:rFonts w:ascii="Traditional Arabic" w:hAnsi="Traditional Arabic" w:cs="Traditional Arabic" w:hint="cs"/>
          <w:sz w:val="28"/>
          <w:szCs w:val="28"/>
          <w:rtl/>
          <w:lang w:bidi="ar-DZ"/>
        </w:rPr>
        <w:t>ة</w:t>
      </w:r>
      <w:r w:rsidR="00D55CDB" w:rsidRPr="00362EDA">
        <w:rPr>
          <w:rFonts w:ascii="Traditional Arabic" w:hAnsi="Traditional Arabic" w:cs="Traditional Arabic"/>
          <w:sz w:val="28"/>
          <w:szCs w:val="28"/>
          <w:rtl/>
          <w:lang w:bidi="ar-DZ"/>
        </w:rPr>
        <w:t xml:space="preserve"> هدفها الوحيد البهجة, في حيث أن ارتباط الشخص بالممارسات والعادات الجمالية سيفضح ويكشف القناع عن الانتماء الاجتماعي والاستخد</w:t>
      </w:r>
      <w:r w:rsidR="00840B99">
        <w:rPr>
          <w:rFonts w:ascii="Traditional Arabic" w:hAnsi="Traditional Arabic" w:cs="Traditional Arabic"/>
          <w:sz w:val="28"/>
          <w:szCs w:val="28"/>
          <w:rtl/>
          <w:lang w:bidi="ar-DZ"/>
        </w:rPr>
        <w:t>امات الاجتماعية للذوق والتميز ب</w:t>
      </w:r>
      <w:r w:rsidR="00840B99">
        <w:rPr>
          <w:rFonts w:ascii="Traditional Arabic" w:hAnsi="Traditional Arabic" w:cs="Traditional Arabic" w:hint="cs"/>
          <w:sz w:val="28"/>
          <w:szCs w:val="28"/>
          <w:rtl/>
          <w:lang w:bidi="ar-DZ"/>
        </w:rPr>
        <w:t>تل</w:t>
      </w:r>
      <w:r w:rsidR="00D55CDB" w:rsidRPr="00362EDA">
        <w:rPr>
          <w:rFonts w:ascii="Traditional Arabic" w:hAnsi="Traditional Arabic" w:cs="Traditional Arabic"/>
          <w:sz w:val="28"/>
          <w:szCs w:val="28"/>
          <w:rtl/>
          <w:lang w:bidi="ar-DZ"/>
        </w:rPr>
        <w:t>ك المهارات الرمزية المتمثلة في التعليم الكفاءة الجمالية أو اللغوية</w:t>
      </w:r>
      <w:r w:rsidR="00D55CDB" w:rsidRPr="00362EDA">
        <w:rPr>
          <w:rStyle w:val="Appelnotedebasdep"/>
          <w:rFonts w:ascii="Traditional Arabic" w:hAnsi="Traditional Arabic" w:cs="Traditional Arabic"/>
          <w:sz w:val="28"/>
          <w:szCs w:val="28"/>
          <w:rtl/>
          <w:lang w:bidi="ar-DZ"/>
        </w:rPr>
        <w:footnoteReference w:id="7"/>
      </w:r>
      <w:r w:rsidR="00D55CDB" w:rsidRPr="00362EDA">
        <w:rPr>
          <w:rFonts w:ascii="Traditional Arabic" w:hAnsi="Traditional Arabic" w:cs="Traditional Arabic"/>
          <w:sz w:val="28"/>
          <w:szCs w:val="28"/>
          <w:rtl/>
          <w:lang w:bidi="ar-DZ"/>
        </w:rPr>
        <w:t>, بمعنى أن الاهتمام بالفن ومختلف فروعه لا يعو</w:t>
      </w:r>
      <w:r w:rsidR="00193A19">
        <w:rPr>
          <w:rFonts w:ascii="Traditional Arabic" w:hAnsi="Traditional Arabic" w:cs="Traditional Arabic"/>
          <w:sz w:val="28"/>
          <w:szCs w:val="28"/>
          <w:rtl/>
          <w:lang w:bidi="ar-DZ"/>
        </w:rPr>
        <w:t xml:space="preserve">د إلى الفطرة الإنسانية بقدر ما </w:t>
      </w:r>
      <w:r w:rsidR="00193A19">
        <w:rPr>
          <w:rFonts w:ascii="Traditional Arabic" w:hAnsi="Traditional Arabic" w:cs="Traditional Arabic" w:hint="cs"/>
          <w:sz w:val="28"/>
          <w:szCs w:val="28"/>
          <w:rtl/>
          <w:lang w:bidi="ar-DZ"/>
        </w:rPr>
        <w:t>ي</w:t>
      </w:r>
      <w:r w:rsidR="00D55CDB" w:rsidRPr="00362EDA">
        <w:rPr>
          <w:rFonts w:ascii="Traditional Arabic" w:hAnsi="Traditional Arabic" w:cs="Traditional Arabic"/>
          <w:sz w:val="28"/>
          <w:szCs w:val="28"/>
          <w:rtl/>
          <w:lang w:bidi="ar-DZ"/>
        </w:rPr>
        <w:t>شرب من خلال مؤسسات التنشئة الاجتماعية المختلفة كل حسب مستواه الاجتماعي والاقتصادي والثقافي.</w:t>
      </w:r>
    </w:p>
    <w:p w:rsidR="00D55CDB" w:rsidRPr="00362EDA" w:rsidRDefault="00D55CDB"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 xml:space="preserve"> كما لا يقتصر تأثير الأصل الاجتماعي على التفاوت في المداخيل ومستوى المعيشة كما يسود الاعتقاد, فقد كشف بورديو عن علاقة الارتباط بين </w:t>
      </w:r>
      <w:r w:rsidR="00EE5342">
        <w:rPr>
          <w:rFonts w:ascii="Traditional Arabic" w:hAnsi="Traditional Arabic" w:cs="Traditional Arabic"/>
          <w:sz w:val="28"/>
          <w:szCs w:val="28"/>
          <w:rtl/>
          <w:lang w:bidi="ar-DZ"/>
        </w:rPr>
        <w:t xml:space="preserve">التردد على </w:t>
      </w:r>
      <w:r w:rsidRPr="00362EDA">
        <w:rPr>
          <w:rFonts w:ascii="Traditional Arabic" w:hAnsi="Traditional Arabic" w:cs="Traditional Arabic"/>
          <w:sz w:val="28"/>
          <w:szCs w:val="28"/>
          <w:rtl/>
          <w:lang w:bidi="ar-DZ"/>
        </w:rPr>
        <w:t xml:space="preserve">متاحف الفن وبين المستوى التعليمي, وبخاصة المستوى التعليمي لذى الأم, ومنه استطاع </w:t>
      </w:r>
      <w:r w:rsidRPr="00362EDA">
        <w:rPr>
          <w:rFonts w:ascii="Traditional Arabic" w:hAnsi="Traditional Arabic" w:cs="Traditional Arabic"/>
          <w:sz w:val="28"/>
          <w:szCs w:val="28"/>
          <w:rtl/>
          <w:lang w:bidi="ar-DZ"/>
        </w:rPr>
        <w:lastRenderedPageBreak/>
        <w:t>أن يضيف إلى مفهوم رأس المال الاقتصادي مفهوما آخر هو مفهوم ٍ</w:t>
      </w:r>
      <w:r w:rsidR="00DA007C">
        <w:rPr>
          <w:rFonts w:ascii="Traditional Arabic" w:hAnsi="Traditional Arabic" w:cs="Traditional Arabic" w:hint="cs"/>
          <w:sz w:val="28"/>
          <w:szCs w:val="28"/>
          <w:rtl/>
          <w:lang w:bidi="ar-DZ"/>
        </w:rPr>
        <w:t>ر</w:t>
      </w:r>
      <w:r w:rsidRPr="00362EDA">
        <w:rPr>
          <w:rFonts w:ascii="Traditional Arabic" w:hAnsi="Traditional Arabic" w:cs="Traditional Arabic"/>
          <w:sz w:val="28"/>
          <w:szCs w:val="28"/>
          <w:rtl/>
          <w:lang w:bidi="ar-DZ"/>
        </w:rPr>
        <w:t>أس المال الثقافي وهو ما تطرقنا إليه في بداية المحاضرة, طبعا الرأس مال الثقافي الذي يقاس بمستوى الشهادات ولا يتطلب بلوغ الكفاءات الرمزية.</w:t>
      </w:r>
    </w:p>
    <w:p w:rsidR="00D55CDB" w:rsidRPr="00362EDA" w:rsidRDefault="00D55CDB"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 كما يمكن اعتبار سوسيولوجيا الأذواق من أهم الأفعال المؤسسة لسوسي</w:t>
      </w:r>
      <w:r w:rsidR="00DF6E29">
        <w:rPr>
          <w:rFonts w:ascii="Traditional Arabic" w:hAnsi="Traditional Arabic" w:cs="Traditional Arabic"/>
          <w:sz w:val="28"/>
          <w:szCs w:val="28"/>
          <w:rtl/>
          <w:lang w:bidi="ar-DZ"/>
        </w:rPr>
        <w:t xml:space="preserve">ولوجيا الفن, </w:t>
      </w:r>
      <w:r w:rsidR="00AC55E9">
        <w:rPr>
          <w:rFonts w:ascii="Traditional Arabic" w:hAnsi="Traditional Arabic" w:cs="Traditional Arabic" w:hint="cs"/>
          <w:sz w:val="28"/>
          <w:szCs w:val="28"/>
          <w:rtl/>
          <w:lang w:bidi="ar-DZ"/>
        </w:rPr>
        <w:t>ف</w:t>
      </w:r>
      <w:r w:rsidR="00DF6E29">
        <w:rPr>
          <w:rFonts w:ascii="Traditional Arabic" w:hAnsi="Traditional Arabic" w:cs="Traditional Arabic"/>
          <w:sz w:val="28"/>
          <w:szCs w:val="28"/>
          <w:rtl/>
          <w:lang w:bidi="ar-DZ"/>
        </w:rPr>
        <w:t>خلافا لمثالية الحس</w:t>
      </w:r>
      <w:r w:rsidRPr="00362EDA">
        <w:rPr>
          <w:rFonts w:ascii="Traditional Arabic" w:hAnsi="Traditional Arabic" w:cs="Traditional Arabic"/>
          <w:sz w:val="28"/>
          <w:szCs w:val="28"/>
          <w:rtl/>
          <w:lang w:bidi="ar-DZ"/>
        </w:rPr>
        <w:t xml:space="preserve"> العام الذي يرى تلقائيا أن الفن لا يخضع للمحددات الخاصة به, ذهبت السوسيولوجيا إلى تقديم الاستعدادات الثقافية الخاصة بالفنانين على المزايا الجمالية الخاصة بالأعمال الفنية, وهذا معنى المشاهدون هم الذين يصنعون اللوحات, انطلاقا من ذلك انفتح اتجاهان للبحث اتجاه يهتم بالدراسة الاحصائية, للعادات الثقافية واتجاه ثاني يهتم بالدراسات السوسيولوجية للأهواء</w:t>
      </w:r>
      <w:r w:rsidRPr="00362EDA">
        <w:rPr>
          <w:rStyle w:val="Appelnotedebasdep"/>
          <w:rFonts w:ascii="Traditional Arabic" w:hAnsi="Traditional Arabic" w:cs="Traditional Arabic"/>
          <w:sz w:val="28"/>
          <w:szCs w:val="28"/>
          <w:rtl/>
          <w:lang w:bidi="ar-DZ"/>
        </w:rPr>
        <w:footnoteReference w:id="8"/>
      </w:r>
      <w:r w:rsidR="00C2436E">
        <w:rPr>
          <w:rFonts w:ascii="Traditional Arabic" w:hAnsi="Traditional Arabic" w:cs="Traditional Arabic"/>
          <w:sz w:val="28"/>
          <w:szCs w:val="28"/>
          <w:rtl/>
          <w:lang w:bidi="ar-DZ"/>
        </w:rPr>
        <w:t xml:space="preserve"> و</w:t>
      </w:r>
      <w:r w:rsidR="000C1132" w:rsidRPr="00362EDA">
        <w:rPr>
          <w:rFonts w:ascii="Traditional Arabic" w:hAnsi="Traditional Arabic" w:cs="Traditional Arabic"/>
          <w:sz w:val="28"/>
          <w:szCs w:val="28"/>
          <w:rtl/>
          <w:lang w:bidi="ar-DZ"/>
        </w:rPr>
        <w:t>طبعا أن الذوق يكتسب كذلك من خلال جملة الاستعدادات المكتسبة أو الهابيتوس كما يسميه بياربورديو التي تتكون لدى الفرد من خلال التنشئة الاجتماعية.</w:t>
      </w:r>
    </w:p>
    <w:p w:rsidR="000C1132" w:rsidRPr="00362EDA" w:rsidRDefault="006231AB" w:rsidP="00362EDA">
      <w:pPr>
        <w:ind w:left="567" w:right="368"/>
        <w:jc w:val="right"/>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إن </w:t>
      </w:r>
      <w:r>
        <w:rPr>
          <w:rFonts w:ascii="Traditional Arabic" w:hAnsi="Traditional Arabic" w:cs="Traditional Arabic" w:hint="cs"/>
          <w:sz w:val="28"/>
          <w:szCs w:val="28"/>
          <w:rtl/>
          <w:lang w:bidi="ar-DZ"/>
        </w:rPr>
        <w:t>إ</w:t>
      </w:r>
      <w:r w:rsidR="000C1132" w:rsidRPr="00362EDA">
        <w:rPr>
          <w:rFonts w:ascii="Traditional Arabic" w:hAnsi="Traditional Arabic" w:cs="Traditional Arabic"/>
          <w:sz w:val="28"/>
          <w:szCs w:val="28"/>
          <w:rtl/>
          <w:lang w:bidi="ar-DZ"/>
        </w:rPr>
        <w:t>شكالية الممارسات الرمزية حيث ينشط الرأس مال الثقافي عبر مجموعة من الهابيتوس متفاوتة الشرعية سوف تقدم ايضاحات اختبارية غن</w:t>
      </w:r>
      <w:r w:rsidR="00D233A5">
        <w:rPr>
          <w:rFonts w:ascii="Traditional Arabic" w:hAnsi="Traditional Arabic" w:cs="Traditional Arabic"/>
          <w:sz w:val="28"/>
          <w:szCs w:val="28"/>
          <w:rtl/>
          <w:lang w:bidi="ar-DZ"/>
        </w:rPr>
        <w:t>ية لمفهوم" التميز" الذي طور الح</w:t>
      </w:r>
      <w:r w:rsidR="00D233A5">
        <w:rPr>
          <w:rFonts w:ascii="Traditional Arabic" w:hAnsi="Traditional Arabic" w:cs="Traditional Arabic" w:hint="cs"/>
          <w:sz w:val="28"/>
          <w:szCs w:val="28"/>
          <w:rtl/>
          <w:lang w:bidi="ar-DZ"/>
        </w:rPr>
        <w:t>د</w:t>
      </w:r>
      <w:r w:rsidR="000C1132" w:rsidRPr="00362EDA">
        <w:rPr>
          <w:rFonts w:ascii="Traditional Arabic" w:hAnsi="Traditional Arabic" w:cs="Traditional Arabic"/>
          <w:sz w:val="28"/>
          <w:szCs w:val="28"/>
          <w:rtl/>
          <w:lang w:bidi="ar-DZ"/>
        </w:rPr>
        <w:t>س حول مظاهر البدخ والشرف التي طرحها السوسيولوجي الأمريكي تورشتاين فيبلن 1899.</w:t>
      </w:r>
    </w:p>
    <w:p w:rsidR="000C1132" w:rsidRPr="00362EDA" w:rsidRDefault="000C1132"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 إزدهار المعارض: يمكن اعتبار ازدهار المعارض من الأفعال الجوهرية التي عملت على التأسيس لسوسيولوجيا الفن, حيث تعود معارض الفن إلى القرن18 عندما كان الأكاديميون يقيمون صالون</w:t>
      </w:r>
      <w:r w:rsidR="00E616C5">
        <w:rPr>
          <w:rFonts w:ascii="Traditional Arabic" w:hAnsi="Traditional Arabic" w:cs="Traditional Arabic" w:hint="cs"/>
          <w:sz w:val="28"/>
          <w:szCs w:val="28"/>
          <w:rtl/>
          <w:lang w:bidi="ar-DZ"/>
        </w:rPr>
        <w:t>ات</w:t>
      </w:r>
      <w:r w:rsidRPr="00362EDA">
        <w:rPr>
          <w:rFonts w:ascii="Traditional Arabic" w:hAnsi="Traditional Arabic" w:cs="Traditional Arabic"/>
          <w:sz w:val="28"/>
          <w:szCs w:val="28"/>
          <w:rtl/>
          <w:lang w:bidi="ar-DZ"/>
        </w:rPr>
        <w:t xml:space="preserve"> لعرض اللوحات المصورة تعويضا لهم عن الامتناع عن الإتجار بلوحاتهم وبيعها مباشرة, وهو امتناع التزموه من تلقائهم على عكس مايفعل الحرفيون الذين يعرضو</w:t>
      </w:r>
      <w:r w:rsidR="007D373C">
        <w:rPr>
          <w:rFonts w:ascii="Traditional Arabic" w:hAnsi="Traditional Arabic" w:cs="Traditional Arabic"/>
          <w:sz w:val="28"/>
          <w:szCs w:val="28"/>
          <w:rtl/>
          <w:lang w:bidi="ar-DZ"/>
        </w:rPr>
        <w:t>ن منتوجهم أمام المارة, فكان الر</w:t>
      </w:r>
      <w:r w:rsidR="007D373C">
        <w:rPr>
          <w:rFonts w:ascii="Traditional Arabic" w:hAnsi="Traditional Arabic" w:cs="Traditional Arabic" w:hint="cs"/>
          <w:sz w:val="28"/>
          <w:szCs w:val="28"/>
          <w:rtl/>
          <w:lang w:bidi="ar-DZ"/>
        </w:rPr>
        <w:t>سا</w:t>
      </w:r>
      <w:r w:rsidRPr="00362EDA">
        <w:rPr>
          <w:rFonts w:ascii="Traditional Arabic" w:hAnsi="Traditional Arabic" w:cs="Traditional Arabic"/>
          <w:sz w:val="28"/>
          <w:szCs w:val="28"/>
          <w:rtl/>
          <w:lang w:bidi="ar-DZ"/>
        </w:rPr>
        <w:t>مون والنحاتون لكي يثبتو</w:t>
      </w:r>
      <w:r w:rsidR="007D373C">
        <w:rPr>
          <w:rFonts w:ascii="Traditional Arabic" w:hAnsi="Traditional Arabic" w:cs="Traditional Arabic" w:hint="cs"/>
          <w:sz w:val="28"/>
          <w:szCs w:val="28"/>
          <w:rtl/>
          <w:lang w:bidi="ar-DZ"/>
        </w:rPr>
        <w:t>ا</w:t>
      </w:r>
      <w:r w:rsidRPr="00362EDA">
        <w:rPr>
          <w:rFonts w:ascii="Traditional Arabic" w:hAnsi="Traditional Arabic" w:cs="Traditional Arabic"/>
          <w:sz w:val="28"/>
          <w:szCs w:val="28"/>
          <w:rtl/>
          <w:lang w:bidi="ar-DZ"/>
        </w:rPr>
        <w:t xml:space="preserve"> بأنهم لا يمنتمون إلى دائرة أصحاب المهن, يعرضون </w:t>
      </w:r>
      <w:r w:rsidR="00D1366F">
        <w:rPr>
          <w:rFonts w:ascii="Traditional Arabic" w:hAnsi="Traditional Arabic" w:cs="Traditional Arabic" w:hint="cs"/>
          <w:sz w:val="28"/>
          <w:szCs w:val="28"/>
          <w:rtl/>
          <w:lang w:bidi="ar-DZ"/>
        </w:rPr>
        <w:t>إ</w:t>
      </w:r>
      <w:r w:rsidRPr="00362EDA">
        <w:rPr>
          <w:rFonts w:ascii="Traditional Arabic" w:hAnsi="Traditional Arabic" w:cs="Traditional Arabic"/>
          <w:sz w:val="28"/>
          <w:szCs w:val="28"/>
          <w:rtl/>
          <w:lang w:bidi="ar-DZ"/>
        </w:rPr>
        <w:t>نتاجهم الفني ولوحاتهم في مكان غير تجاري ( صالونات اللوفر) ومن دون النية في تحقيق أرباح من وراء بيعها على الفور</w:t>
      </w:r>
      <w:r w:rsidRPr="00362EDA">
        <w:rPr>
          <w:rStyle w:val="Appelnotedebasdep"/>
          <w:rFonts w:ascii="Traditional Arabic" w:hAnsi="Traditional Arabic" w:cs="Traditional Arabic"/>
          <w:sz w:val="28"/>
          <w:szCs w:val="28"/>
          <w:rtl/>
          <w:lang w:bidi="ar-DZ"/>
        </w:rPr>
        <w:footnoteReference w:id="9"/>
      </w:r>
      <w:r w:rsidRPr="00362EDA">
        <w:rPr>
          <w:rFonts w:ascii="Traditional Arabic" w:hAnsi="Traditional Arabic" w:cs="Traditional Arabic"/>
          <w:sz w:val="28"/>
          <w:szCs w:val="28"/>
          <w:rtl/>
          <w:lang w:bidi="ar-DZ"/>
        </w:rPr>
        <w:t xml:space="preserve"> </w:t>
      </w:r>
    </w:p>
    <w:p w:rsidR="00CF20E1" w:rsidRPr="00362EDA" w:rsidRDefault="000C1132"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t>الإدراك الجمالي</w:t>
      </w:r>
      <w:r w:rsidRPr="00362EDA">
        <w:rPr>
          <w:rStyle w:val="Appelnotedebasdep"/>
          <w:rFonts w:ascii="Traditional Arabic" w:hAnsi="Traditional Arabic" w:cs="Traditional Arabic"/>
          <w:sz w:val="28"/>
          <w:szCs w:val="28"/>
          <w:rtl/>
          <w:lang w:bidi="ar-DZ"/>
        </w:rPr>
        <w:footnoteReference w:id="10"/>
      </w:r>
      <w:r w:rsidRPr="00362EDA">
        <w:rPr>
          <w:rFonts w:ascii="Traditional Arabic" w:hAnsi="Traditional Arabic" w:cs="Traditional Arabic"/>
          <w:sz w:val="28"/>
          <w:szCs w:val="28"/>
          <w:rtl/>
          <w:lang w:bidi="ar-DZ"/>
        </w:rPr>
        <w:t xml:space="preserve"> تتضح هنا صور المقاربة الاحصائية التي قام بها بورديو, التي تجيب عن السؤال من يشاهد ماذا؟ من دون أن تجيب على السؤال الآخر- ماهو المشاهد؟ </w:t>
      </w:r>
      <w:r w:rsidR="00D1366F">
        <w:rPr>
          <w:rFonts w:ascii="Traditional Arabic" w:hAnsi="Traditional Arabic" w:cs="Traditional Arabic"/>
          <w:sz w:val="28"/>
          <w:szCs w:val="28"/>
          <w:rtl/>
          <w:lang w:bidi="ar-DZ"/>
        </w:rPr>
        <w:t>أو عن السؤال ما قيمة المشاهد لم</w:t>
      </w:r>
      <w:r w:rsidR="00D1366F">
        <w:rPr>
          <w:rFonts w:ascii="Traditional Arabic" w:hAnsi="Traditional Arabic" w:cs="Traditional Arabic" w:hint="cs"/>
          <w:sz w:val="28"/>
          <w:szCs w:val="28"/>
          <w:rtl/>
          <w:lang w:bidi="ar-DZ"/>
        </w:rPr>
        <w:t>ا</w:t>
      </w:r>
      <w:r w:rsidRPr="00362EDA">
        <w:rPr>
          <w:rFonts w:ascii="Traditional Arabic" w:hAnsi="Traditional Arabic" w:cs="Traditional Arabic"/>
          <w:sz w:val="28"/>
          <w:szCs w:val="28"/>
          <w:rtl/>
          <w:lang w:bidi="ar-DZ"/>
        </w:rPr>
        <w:t xml:space="preserve"> يشاهده؟</w:t>
      </w:r>
      <w:r w:rsidR="00CF20E1" w:rsidRPr="00362EDA">
        <w:rPr>
          <w:rFonts w:ascii="Traditional Arabic" w:hAnsi="Traditional Arabic" w:cs="Traditional Arabic"/>
          <w:sz w:val="28"/>
          <w:szCs w:val="28"/>
          <w:rtl/>
          <w:lang w:bidi="ar-DZ"/>
        </w:rPr>
        <w:t xml:space="preserve">, وهذان السؤالان أساسيان كما تبين الدراسات النوعية لجماهير الفن المتعددة, في هذا المجال  شق بورديو </w:t>
      </w:r>
      <w:r w:rsidR="00C57E16">
        <w:rPr>
          <w:rFonts w:ascii="Traditional Arabic" w:hAnsi="Traditional Arabic" w:cs="Traditional Arabic"/>
          <w:sz w:val="28"/>
          <w:szCs w:val="28"/>
          <w:rtl/>
          <w:lang w:bidi="ar-DZ"/>
        </w:rPr>
        <w:t>وفريق عمله طريقا ب</w:t>
      </w:r>
      <w:r w:rsidR="00C57E16">
        <w:rPr>
          <w:rFonts w:ascii="Traditional Arabic" w:hAnsi="Traditional Arabic" w:cs="Traditional Arabic" w:hint="cs"/>
          <w:sz w:val="28"/>
          <w:szCs w:val="28"/>
          <w:rtl/>
          <w:lang w:bidi="ar-DZ"/>
        </w:rPr>
        <w:t>إل</w:t>
      </w:r>
      <w:r w:rsidR="00CF20E1" w:rsidRPr="00362EDA">
        <w:rPr>
          <w:rFonts w:ascii="Traditional Arabic" w:hAnsi="Traditional Arabic" w:cs="Traditional Arabic"/>
          <w:sz w:val="28"/>
          <w:szCs w:val="28"/>
          <w:rtl/>
          <w:lang w:bidi="ar-DZ"/>
        </w:rPr>
        <w:t>تفاته إلى الاستخدامات الاجتماعية للذوق</w:t>
      </w:r>
      <w:r w:rsidR="00C57E16">
        <w:rPr>
          <w:rFonts w:ascii="Traditional Arabic" w:hAnsi="Traditional Arabic" w:cs="Traditional Arabic" w:hint="cs"/>
          <w:sz w:val="28"/>
          <w:szCs w:val="28"/>
          <w:rtl/>
          <w:lang w:bidi="ar-DZ"/>
        </w:rPr>
        <w:t>,</w:t>
      </w:r>
      <w:r w:rsidR="00CF20E1" w:rsidRPr="00362EDA">
        <w:rPr>
          <w:rFonts w:ascii="Traditional Arabic" w:hAnsi="Traditional Arabic" w:cs="Traditional Arabic"/>
          <w:sz w:val="28"/>
          <w:szCs w:val="28"/>
          <w:rtl/>
          <w:lang w:bidi="ar-DZ"/>
        </w:rPr>
        <w:t xml:space="preserve"> للتصوير الفوتوغرافي سنة 1965, استكملت المقاربة  الاحصائية بأسلوب أكثر نوعية ويقوم على المقابلات المباشرة المعمقة ومن ثم جرى اعتماد هذا الأسلوب على الأغلب من قبل علماء الاجتماع الفن والثقافة في دراسات ميدانية.</w:t>
      </w:r>
    </w:p>
    <w:p w:rsidR="000C1132" w:rsidRPr="00362EDA" w:rsidRDefault="00CF20E1" w:rsidP="00362EDA">
      <w:pPr>
        <w:ind w:left="567" w:right="368"/>
        <w:jc w:val="right"/>
        <w:rPr>
          <w:rFonts w:ascii="Traditional Arabic" w:hAnsi="Traditional Arabic" w:cs="Traditional Arabic"/>
          <w:sz w:val="28"/>
          <w:szCs w:val="28"/>
          <w:rtl/>
          <w:lang w:bidi="ar-DZ"/>
        </w:rPr>
      </w:pPr>
      <w:r w:rsidRPr="00362EDA">
        <w:rPr>
          <w:rFonts w:ascii="Traditional Arabic" w:hAnsi="Traditional Arabic" w:cs="Traditional Arabic"/>
          <w:sz w:val="28"/>
          <w:szCs w:val="28"/>
          <w:rtl/>
          <w:lang w:bidi="ar-DZ"/>
        </w:rPr>
        <w:lastRenderedPageBreak/>
        <w:t xml:space="preserve">خلاصة: نستخلص من خلال عرضنا لهذه المحاضرة بأن الأفعال الأساسية التي أسست </w:t>
      </w:r>
      <w:r w:rsidR="00362EDA" w:rsidRPr="00362EDA">
        <w:rPr>
          <w:rFonts w:ascii="Traditional Arabic" w:hAnsi="Traditional Arabic" w:cs="Traditional Arabic"/>
          <w:sz w:val="28"/>
          <w:szCs w:val="28"/>
          <w:rtl/>
          <w:lang w:bidi="ar-DZ"/>
        </w:rPr>
        <w:t>لسوسيولوجيا الفن هي سوسيولوجيا التحريات في بداية الأمر ثم سوسيولوجيا الأذواق التي تبرز أهمية تذوق الجمهور للأعمال الفنية المعروضة ثم ازدهار المعارض في القرن 18 الذي أتاح للكثير من الدارسين في علم الاجتماع الثقافي والفن معرفة الخلفية السوسيولوجية والفنية لذلك بالإضافة إلى توسيع العمل السوسيو ثقافي الفني إلى الإدراك الجمالي كل هذه الأفعال كانت م</w:t>
      </w:r>
      <w:r w:rsidR="00C57E16">
        <w:rPr>
          <w:rFonts w:ascii="Traditional Arabic" w:hAnsi="Traditional Arabic" w:cs="Traditional Arabic" w:hint="cs"/>
          <w:sz w:val="28"/>
          <w:szCs w:val="28"/>
          <w:rtl/>
          <w:lang w:bidi="ar-DZ"/>
        </w:rPr>
        <w:t>ِؤ</w:t>
      </w:r>
      <w:r w:rsidR="00362EDA" w:rsidRPr="00362EDA">
        <w:rPr>
          <w:rFonts w:ascii="Traditional Arabic" w:hAnsi="Traditional Arabic" w:cs="Traditional Arabic"/>
          <w:sz w:val="28"/>
          <w:szCs w:val="28"/>
          <w:rtl/>
          <w:lang w:bidi="ar-DZ"/>
        </w:rPr>
        <w:t>سسة لسوسيولوجيا الفن.</w:t>
      </w:r>
      <w:r w:rsidRPr="00362EDA">
        <w:rPr>
          <w:rFonts w:ascii="Traditional Arabic" w:hAnsi="Traditional Arabic" w:cs="Traditional Arabic"/>
          <w:sz w:val="28"/>
          <w:szCs w:val="28"/>
          <w:rtl/>
          <w:lang w:bidi="ar-DZ"/>
        </w:rPr>
        <w:t xml:space="preserve"> </w:t>
      </w:r>
    </w:p>
    <w:sectPr w:rsidR="000C1132" w:rsidRPr="00362EDA" w:rsidSect="00362EDA">
      <w:pgSz w:w="11906" w:h="16838"/>
      <w:pgMar w:top="1701"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4F9" w:rsidRDefault="00D514F9" w:rsidP="00813A84">
      <w:pPr>
        <w:spacing w:after="0" w:line="240" w:lineRule="auto"/>
      </w:pPr>
      <w:r>
        <w:separator/>
      </w:r>
    </w:p>
  </w:endnote>
  <w:endnote w:type="continuationSeparator" w:id="1">
    <w:p w:rsidR="00D514F9" w:rsidRDefault="00D514F9" w:rsidP="00813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4F9" w:rsidRDefault="00D514F9" w:rsidP="00813A84">
      <w:pPr>
        <w:spacing w:after="0" w:line="240" w:lineRule="auto"/>
      </w:pPr>
      <w:r>
        <w:separator/>
      </w:r>
    </w:p>
  </w:footnote>
  <w:footnote w:type="continuationSeparator" w:id="1">
    <w:p w:rsidR="00D514F9" w:rsidRDefault="00D514F9" w:rsidP="00813A84">
      <w:pPr>
        <w:spacing w:after="0" w:line="240" w:lineRule="auto"/>
      </w:pPr>
      <w:r>
        <w:continuationSeparator/>
      </w:r>
    </w:p>
  </w:footnote>
  <w:footnote w:id="2">
    <w:p w:rsidR="00813A84" w:rsidRDefault="00813A84" w:rsidP="00813A84">
      <w:pPr>
        <w:pStyle w:val="Notedebasdepage"/>
        <w:jc w:val="right"/>
        <w:rPr>
          <w:rFonts w:hint="cs"/>
          <w:rtl/>
          <w:lang w:bidi="ar-DZ"/>
        </w:rPr>
      </w:pPr>
      <w:r>
        <w:rPr>
          <w:rFonts w:hint="cs"/>
          <w:rtl/>
        </w:rPr>
        <w:t xml:space="preserve"> ناتالي اينيك: سوسيولوجيا الفن, ترجمة: حسين جواد قبيسي, المنظمة العربية للترجمة, لبنان, 2011,ص92.</w:t>
      </w:r>
      <w:r>
        <w:rPr>
          <w:rStyle w:val="Appelnotedebasdep"/>
        </w:rPr>
        <w:footnoteRef/>
      </w:r>
      <w:r>
        <w:t xml:space="preserve"> </w:t>
      </w:r>
    </w:p>
  </w:footnote>
  <w:footnote w:id="3">
    <w:p w:rsidR="003F37F3" w:rsidRDefault="003F37F3" w:rsidP="003F37F3">
      <w:pPr>
        <w:pStyle w:val="Notedebasdepage"/>
        <w:jc w:val="right"/>
        <w:rPr>
          <w:rFonts w:hint="cs"/>
          <w:rtl/>
          <w:lang w:bidi="ar-DZ"/>
        </w:rPr>
      </w:pPr>
      <w:r>
        <w:rPr>
          <w:rFonts w:hint="cs"/>
          <w:rtl/>
        </w:rPr>
        <w:t xml:space="preserve"> نفس المرجع, ص92.</w:t>
      </w:r>
      <w:r>
        <w:rPr>
          <w:rStyle w:val="Appelnotedebasdep"/>
        </w:rPr>
        <w:footnoteRef/>
      </w:r>
      <w:r>
        <w:t xml:space="preserve"> </w:t>
      </w:r>
    </w:p>
  </w:footnote>
  <w:footnote w:id="4">
    <w:p w:rsidR="006065B4" w:rsidRDefault="006065B4" w:rsidP="006065B4">
      <w:pPr>
        <w:pStyle w:val="Notedebasdepage"/>
        <w:jc w:val="right"/>
        <w:rPr>
          <w:rFonts w:hint="cs"/>
          <w:rtl/>
          <w:lang w:bidi="ar-DZ"/>
        </w:rPr>
      </w:pPr>
      <w:r>
        <w:rPr>
          <w:rFonts w:hint="cs"/>
          <w:rtl/>
        </w:rPr>
        <w:t xml:space="preserve"> ديفيد اينغليز, جون هنسون, ترجمة: ليلى الموسوي, سوسيولوجيا الفن, طرق للرؤية, عالم المعرفة, الكويت,2008,ص33.</w:t>
      </w:r>
      <w:r>
        <w:rPr>
          <w:rStyle w:val="Appelnotedebasdep"/>
        </w:rPr>
        <w:footnoteRef/>
      </w:r>
      <w:r>
        <w:t xml:space="preserve"> </w:t>
      </w:r>
    </w:p>
  </w:footnote>
  <w:footnote w:id="5">
    <w:p w:rsidR="00643794" w:rsidRDefault="00643794" w:rsidP="00643794">
      <w:pPr>
        <w:pStyle w:val="Notedebasdepage"/>
        <w:jc w:val="right"/>
        <w:rPr>
          <w:rFonts w:hint="cs"/>
          <w:rtl/>
          <w:lang w:bidi="ar-DZ"/>
        </w:rPr>
      </w:pPr>
      <w:r>
        <w:rPr>
          <w:rFonts w:hint="cs"/>
          <w:rtl/>
        </w:rPr>
        <w:t xml:space="preserve"> ناتالي اينيك, مرجع سابق,ص93.</w:t>
      </w:r>
      <w:r>
        <w:rPr>
          <w:rStyle w:val="Appelnotedebasdep"/>
        </w:rPr>
        <w:footnoteRef/>
      </w:r>
      <w:r>
        <w:t xml:space="preserve"> </w:t>
      </w:r>
    </w:p>
  </w:footnote>
  <w:footnote w:id="6">
    <w:p w:rsidR="00643794" w:rsidRDefault="00643794" w:rsidP="00643794">
      <w:pPr>
        <w:pStyle w:val="Notedebasdepage"/>
        <w:jc w:val="right"/>
        <w:rPr>
          <w:rFonts w:hint="cs"/>
          <w:rtl/>
          <w:lang w:bidi="ar-DZ"/>
        </w:rPr>
      </w:pPr>
      <w:r>
        <w:rPr>
          <w:rFonts w:hint="cs"/>
          <w:rtl/>
        </w:rPr>
        <w:t xml:space="preserve"> نفس المرجع,ص93.</w:t>
      </w:r>
      <w:r>
        <w:rPr>
          <w:rStyle w:val="Appelnotedebasdep"/>
        </w:rPr>
        <w:footnoteRef/>
      </w:r>
      <w:r>
        <w:t xml:space="preserve"> </w:t>
      </w:r>
    </w:p>
  </w:footnote>
  <w:footnote w:id="7">
    <w:p w:rsidR="00D55CDB" w:rsidRDefault="00D55CDB" w:rsidP="00D55CDB">
      <w:pPr>
        <w:pStyle w:val="Notedebasdepage"/>
        <w:jc w:val="right"/>
        <w:rPr>
          <w:rFonts w:hint="cs"/>
          <w:rtl/>
          <w:lang w:bidi="ar-DZ"/>
        </w:rPr>
      </w:pPr>
      <w:r>
        <w:rPr>
          <w:rFonts w:hint="cs"/>
          <w:rtl/>
        </w:rPr>
        <w:t xml:space="preserve"> نفس المرجع,ص</w:t>
      </w:r>
      <w:r w:rsidR="000C1132">
        <w:rPr>
          <w:rFonts w:hint="cs"/>
          <w:rtl/>
        </w:rPr>
        <w:t>94.</w:t>
      </w:r>
      <w:r>
        <w:rPr>
          <w:rStyle w:val="Appelnotedebasdep"/>
        </w:rPr>
        <w:footnoteRef/>
      </w:r>
      <w:r>
        <w:t xml:space="preserve"> </w:t>
      </w:r>
    </w:p>
  </w:footnote>
  <w:footnote w:id="8">
    <w:p w:rsidR="00D55CDB" w:rsidRDefault="00D55CDB" w:rsidP="00D55CDB">
      <w:pPr>
        <w:pStyle w:val="Notedebasdepage"/>
        <w:jc w:val="right"/>
        <w:rPr>
          <w:rFonts w:hint="cs"/>
          <w:rtl/>
          <w:lang w:bidi="ar-DZ"/>
        </w:rPr>
      </w:pPr>
      <w:r>
        <w:rPr>
          <w:rFonts w:hint="cs"/>
          <w:rtl/>
        </w:rPr>
        <w:t xml:space="preserve"> نفس المرجع,ص97.</w:t>
      </w:r>
      <w:r>
        <w:rPr>
          <w:rStyle w:val="Appelnotedebasdep"/>
        </w:rPr>
        <w:footnoteRef/>
      </w:r>
      <w:r>
        <w:t xml:space="preserve"> </w:t>
      </w:r>
    </w:p>
  </w:footnote>
  <w:footnote w:id="9">
    <w:p w:rsidR="000C1132" w:rsidRDefault="000C1132" w:rsidP="000C1132">
      <w:pPr>
        <w:pStyle w:val="Notedebasdepage"/>
        <w:jc w:val="right"/>
        <w:rPr>
          <w:rFonts w:hint="cs"/>
          <w:rtl/>
          <w:lang w:bidi="ar-DZ"/>
        </w:rPr>
      </w:pPr>
      <w:r>
        <w:rPr>
          <w:rFonts w:hint="cs"/>
          <w:rtl/>
          <w:lang w:bidi="ar-DZ"/>
        </w:rPr>
        <w:t xml:space="preserve"> نفس المرجع,ص101.</w:t>
      </w:r>
      <w:r>
        <w:rPr>
          <w:rStyle w:val="Appelnotedebasdep"/>
        </w:rPr>
        <w:footnoteRef/>
      </w:r>
    </w:p>
  </w:footnote>
  <w:footnote w:id="10">
    <w:p w:rsidR="000C1132" w:rsidRDefault="000C1132" w:rsidP="000C1132">
      <w:pPr>
        <w:pStyle w:val="Notedebasdepage"/>
        <w:jc w:val="right"/>
        <w:rPr>
          <w:rFonts w:hint="cs"/>
          <w:rtl/>
          <w:lang w:bidi="ar-DZ"/>
        </w:rPr>
      </w:pPr>
      <w:r>
        <w:rPr>
          <w:rFonts w:hint="cs"/>
          <w:rtl/>
        </w:rPr>
        <w:t xml:space="preserve"> نفس المرجع,ص103.</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defaultTabStop w:val="708"/>
  <w:hyphenationZone w:val="425"/>
  <w:characterSpacingControl w:val="doNotCompress"/>
  <w:footnotePr>
    <w:footnote w:id="0"/>
    <w:footnote w:id="1"/>
  </w:footnotePr>
  <w:endnotePr>
    <w:endnote w:id="0"/>
    <w:endnote w:id="1"/>
  </w:endnotePr>
  <w:compat/>
  <w:rsids>
    <w:rsidRoot w:val="00813A84"/>
    <w:rsid w:val="000A5B58"/>
    <w:rsid w:val="000A6CC6"/>
    <w:rsid w:val="000C1132"/>
    <w:rsid w:val="001263D2"/>
    <w:rsid w:val="00193A19"/>
    <w:rsid w:val="001C7E28"/>
    <w:rsid w:val="00312821"/>
    <w:rsid w:val="00362EDA"/>
    <w:rsid w:val="003B324A"/>
    <w:rsid w:val="003F37F3"/>
    <w:rsid w:val="006065B4"/>
    <w:rsid w:val="006231AB"/>
    <w:rsid w:val="00643794"/>
    <w:rsid w:val="00702FAB"/>
    <w:rsid w:val="007D373C"/>
    <w:rsid w:val="00813A84"/>
    <w:rsid w:val="00821ACB"/>
    <w:rsid w:val="00840B99"/>
    <w:rsid w:val="00941AC7"/>
    <w:rsid w:val="00AC55E9"/>
    <w:rsid w:val="00BC26B5"/>
    <w:rsid w:val="00BD734D"/>
    <w:rsid w:val="00C2436E"/>
    <w:rsid w:val="00C57E16"/>
    <w:rsid w:val="00CF20E1"/>
    <w:rsid w:val="00D1366F"/>
    <w:rsid w:val="00D233A5"/>
    <w:rsid w:val="00D250E2"/>
    <w:rsid w:val="00D514F9"/>
    <w:rsid w:val="00D55CDB"/>
    <w:rsid w:val="00DA007C"/>
    <w:rsid w:val="00DA565A"/>
    <w:rsid w:val="00DE0A4C"/>
    <w:rsid w:val="00DF6E29"/>
    <w:rsid w:val="00E21531"/>
    <w:rsid w:val="00E616C5"/>
    <w:rsid w:val="00EA26A4"/>
    <w:rsid w:val="00EE5342"/>
    <w:rsid w:val="00FA02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A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3A8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3A84"/>
    <w:rPr>
      <w:sz w:val="20"/>
      <w:szCs w:val="20"/>
    </w:rPr>
  </w:style>
  <w:style w:type="character" w:styleId="Appelnotedebasdep">
    <w:name w:val="footnote reference"/>
    <w:basedOn w:val="Policepardfaut"/>
    <w:uiPriority w:val="99"/>
    <w:semiHidden/>
    <w:unhideWhenUsed/>
    <w:rsid w:val="00813A84"/>
    <w:rPr>
      <w:vertAlign w:val="superscript"/>
    </w:rPr>
  </w:style>
  <w:style w:type="paragraph" w:styleId="Paragraphedeliste">
    <w:name w:val="List Paragraph"/>
    <w:basedOn w:val="Normal"/>
    <w:uiPriority w:val="34"/>
    <w:qFormat/>
    <w:rsid w:val="00643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65D11FA-E8F0-42F1-B547-BA4C11B3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chebita</dc:creator>
  <cp:lastModifiedBy>chebita</cp:lastModifiedBy>
  <cp:revision>2</cp:revision>
  <dcterms:created xsi:type="dcterms:W3CDTF">2020-04-26T16:35:00Z</dcterms:created>
  <dcterms:modified xsi:type="dcterms:W3CDTF">2020-04-26T16:35:00Z</dcterms:modified>
</cp:coreProperties>
</file>