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1D" w:rsidRDefault="0016751D" w:rsidP="0016751D">
      <w:pPr>
        <w:pStyle w:val="Sansinterligne"/>
        <w:bidi/>
        <w:jc w:val="center"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/>
          <w:b/>
          <w:bCs/>
          <w:sz w:val="32"/>
          <w:szCs w:val="32"/>
          <w:rtl/>
          <w:lang w:bidi="ar-DZ"/>
        </w:rPr>
        <w:t xml:space="preserve">تحليل نقدي للنظريات الأساسية في علم الاجتماع </w:t>
      </w:r>
      <w:proofErr w:type="spellStart"/>
      <w:r>
        <w:rPr>
          <w:rFonts w:cs="Traditional Arabic"/>
          <w:b/>
          <w:bCs/>
          <w:sz w:val="32"/>
          <w:szCs w:val="32"/>
          <w:rtl/>
          <w:lang w:bidi="ar-DZ"/>
        </w:rPr>
        <w:t>الحضري،</w:t>
      </w:r>
      <w:proofErr w:type="spellEnd"/>
      <w:r>
        <w:rPr>
          <w:rFonts w:cs="Traditional Arabic"/>
          <w:b/>
          <w:bCs/>
          <w:sz w:val="32"/>
          <w:szCs w:val="32"/>
          <w:rtl/>
          <w:lang w:bidi="ar-DZ"/>
        </w:rPr>
        <w:t xml:space="preserve"> السنة الأولى </w:t>
      </w:r>
      <w:proofErr w:type="spellStart"/>
      <w:r>
        <w:rPr>
          <w:rFonts w:cs="Traditional Arabic"/>
          <w:b/>
          <w:bCs/>
          <w:sz w:val="32"/>
          <w:szCs w:val="32"/>
          <w:rtl/>
          <w:lang w:bidi="ar-DZ"/>
        </w:rPr>
        <w:t>ماستر</w:t>
      </w:r>
      <w:proofErr w:type="spellEnd"/>
      <w:r>
        <w:rPr>
          <w:rFonts w:cs="Traditional Arabic"/>
          <w:b/>
          <w:bCs/>
          <w:sz w:val="32"/>
          <w:szCs w:val="32"/>
          <w:rtl/>
          <w:lang w:bidi="ar-DZ"/>
        </w:rPr>
        <w:t xml:space="preserve"> حضري</w:t>
      </w:r>
    </w:p>
    <w:p w:rsidR="00EE402D" w:rsidRDefault="00EE402D" w:rsidP="00EE402D">
      <w:pPr>
        <w:bidi/>
        <w:spacing w:after="0" w:line="240" w:lineRule="auto"/>
        <w:jc w:val="center"/>
        <w:outlineLvl w:val="0"/>
        <w:rPr>
          <w:rFonts w:ascii="Traditional Arabic" w:hAnsi="Traditional Arabic" w:cs="Traditional Arabic"/>
          <w:bCs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bCs/>
          <w:sz w:val="32"/>
          <w:szCs w:val="32"/>
          <w:rtl/>
        </w:rPr>
        <w:t>المحاضرة</w:t>
      </w:r>
      <w:proofErr w:type="gramEnd"/>
      <w:r>
        <w:rPr>
          <w:rFonts w:ascii="Traditional Arabic" w:hAnsi="Traditional Arabic" w:cs="Traditional Arabic" w:hint="cs"/>
          <w:bCs/>
          <w:sz w:val="32"/>
          <w:szCs w:val="32"/>
          <w:rtl/>
        </w:rPr>
        <w:t xml:space="preserve"> الثالثة</w:t>
      </w:r>
    </w:p>
    <w:p w:rsidR="00EE402D" w:rsidRDefault="00EE402D" w:rsidP="00EE402D">
      <w:pPr>
        <w:bidi/>
        <w:spacing w:after="0" w:line="240" w:lineRule="auto"/>
        <w:jc w:val="center"/>
        <w:outlineLvl w:val="0"/>
        <w:rPr>
          <w:rFonts w:ascii="Traditional Arabic" w:hAnsi="Traditional Arabic" w:cs="Traditional Arabic"/>
          <w:bCs/>
          <w:sz w:val="32"/>
          <w:szCs w:val="32"/>
          <w:lang w:bidi="ar-DZ"/>
        </w:rPr>
      </w:pPr>
      <w:r w:rsidRPr="00F00DF2">
        <w:rPr>
          <w:rFonts w:ascii="Traditional Arabic" w:hAnsi="Traditional Arabic" w:cs="Traditional Arabic"/>
          <w:bCs/>
          <w:sz w:val="32"/>
          <w:szCs w:val="32"/>
          <w:rtl/>
        </w:rPr>
        <w:t xml:space="preserve">مقاربة </w:t>
      </w:r>
      <w:r w:rsidRPr="00F00DF2">
        <w:rPr>
          <w:rFonts w:ascii="Traditional Arabic" w:hAnsi="Traditional Arabic" w:cs="Traditional Arabic"/>
          <w:bCs/>
          <w:sz w:val="32"/>
          <w:szCs w:val="32"/>
        </w:rPr>
        <w:t xml:space="preserve">Maurice Halbwachs  </w:t>
      </w:r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للمرفولوجية</w:t>
      </w:r>
      <w:proofErr w:type="spellEnd"/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الحضرية</w:t>
      </w:r>
    </w:p>
    <w:p w:rsidR="00EE402D" w:rsidRDefault="00EE402D" w:rsidP="00EE402D">
      <w:pPr>
        <w:bidi/>
        <w:spacing w:after="0" w:line="240" w:lineRule="auto"/>
        <w:jc w:val="center"/>
        <w:outlineLvl w:val="0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 xml:space="preserve">العلاقة بين المضاربة العقارية ومخططات التهيئة </w:t>
      </w:r>
      <w:proofErr w:type="spellStart"/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الحضرية،</w:t>
      </w:r>
      <w:proofErr w:type="spellEnd"/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 xml:space="preserve"> الذاكرة الجماعية وعلاقتها </w:t>
      </w:r>
      <w:proofErr w:type="spellStart"/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بالاقامة</w:t>
      </w:r>
      <w:proofErr w:type="spellEnd"/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..</w:t>
      </w:r>
      <w:r w:rsidR="00E3028B"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.</w:t>
      </w:r>
    </w:p>
    <w:p w:rsidR="00391EF0" w:rsidRDefault="00391EF0" w:rsidP="00534378">
      <w:pPr>
        <w:pStyle w:val="Sansinterligne"/>
        <w:bidi/>
        <w:jc w:val="both"/>
        <w:rPr>
          <w:rFonts w:ascii="Traditional Arabic" w:eastAsia="Times New Roman" w:hAnsi="Traditional Arabic" w:cs="Traditional Arabic"/>
          <w:b/>
          <w:color w:val="FF0000"/>
          <w:kern w:val="36"/>
          <w:sz w:val="32"/>
          <w:szCs w:val="32"/>
          <w:rtl/>
          <w:lang w:eastAsia="fr-FR" w:bidi="ar-DZ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   </w:t>
      </w:r>
    </w:p>
    <w:p w:rsidR="00EE402D" w:rsidRPr="00210D13" w:rsidRDefault="008B228F" w:rsidP="00EE402D">
      <w:pPr>
        <w:pStyle w:val="Sansinterligne"/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eastAsia="fr-FR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/>
        </w:rPr>
        <w:t xml:space="preserve">2 ـ </w:t>
      </w:r>
      <w:r w:rsidR="00EE402D" w:rsidRPr="00210D13">
        <w:rPr>
          <w:rFonts w:ascii="Traditional Arabic" w:hAnsi="Traditional Arabic" w:cs="Traditional Arabic"/>
          <w:b/>
          <w:bCs/>
          <w:sz w:val="32"/>
          <w:szCs w:val="32"/>
          <w:rtl/>
          <w:lang w:eastAsia="fr-FR"/>
        </w:rPr>
        <w:t xml:space="preserve">مفهوم </w:t>
      </w:r>
      <w:proofErr w:type="spellStart"/>
      <w:r w:rsidR="00EE402D" w:rsidRPr="00210D13">
        <w:rPr>
          <w:rFonts w:ascii="Traditional Arabic" w:hAnsi="Traditional Arabic" w:cs="Traditional Arabic"/>
          <w:b/>
          <w:bCs/>
          <w:sz w:val="32"/>
          <w:szCs w:val="32"/>
          <w:rtl/>
          <w:lang w:eastAsia="fr-FR"/>
        </w:rPr>
        <w:t>المورفولوجيا</w:t>
      </w:r>
      <w:proofErr w:type="spellEnd"/>
      <w:r w:rsidR="00EE402D" w:rsidRPr="00210D13">
        <w:rPr>
          <w:rFonts w:ascii="Traditional Arabic" w:hAnsi="Traditional Arabic" w:cs="Traditional Arabic"/>
          <w:b/>
          <w:bCs/>
          <w:sz w:val="32"/>
          <w:szCs w:val="32"/>
          <w:rtl/>
          <w:lang w:eastAsia="fr-FR"/>
        </w:rPr>
        <w:t xml:space="preserve"> الاجتماعية</w:t>
      </w:r>
      <w:r w:rsidR="00EE402D" w:rsidRPr="00210D13">
        <w:rPr>
          <w:rFonts w:ascii="Traditional Arabic" w:hAnsi="Traditional Arabic" w:cs="Traditional Arabic"/>
          <w:b/>
          <w:bCs/>
          <w:sz w:val="32"/>
          <w:szCs w:val="32"/>
          <w:lang w:eastAsia="fr-FR"/>
        </w:rPr>
        <w:t>:</w:t>
      </w:r>
    </w:p>
    <w:p w:rsidR="00EE402D" w:rsidRPr="00062037" w:rsidRDefault="00EE402D" w:rsidP="00534378">
      <w:pPr>
        <w:pStyle w:val="Sansinterligne"/>
        <w:bidi/>
        <w:jc w:val="both"/>
        <w:rPr>
          <w:rFonts w:ascii="Traditional Arabic" w:hAnsi="Traditional Arabic" w:cs="Traditional Arabic"/>
          <w:color w:val="000000"/>
          <w:sz w:val="32"/>
          <w:szCs w:val="32"/>
          <w:lang w:eastAsia="fr-FR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eastAsia="fr-FR"/>
        </w:rPr>
        <w:t xml:space="preserve">    </w:t>
      </w:r>
      <w:proofErr w:type="spellStart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>هالبواك</w:t>
      </w:r>
      <w:proofErr w:type="spellEnd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يرى أن </w:t>
      </w:r>
      <w:proofErr w:type="spellStart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>المورفولوجيا</w:t>
      </w:r>
      <w:proofErr w:type="spellEnd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الاجتماعية هي القاعدة </w:t>
      </w:r>
      <w:r w:rsidRPr="005A7834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fr-FR"/>
        </w:rPr>
        <w:t>المادية</w:t>
      </w:r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للمجتمع. ومن </w:t>
      </w:r>
      <w:proofErr w:type="spellStart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>ثم،</w:t>
      </w:r>
      <w:proofErr w:type="spellEnd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</w:t>
      </w:r>
      <w:r w:rsidRPr="005A7834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fr-FR"/>
        </w:rPr>
        <w:t>تتشكل</w:t>
      </w:r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هذه القاعدة من </w:t>
      </w:r>
      <w:r w:rsidRPr="005A7834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fr-FR"/>
        </w:rPr>
        <w:t>الأفراد</w:t>
      </w:r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أو </w:t>
      </w:r>
      <w:proofErr w:type="gramStart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>السكان</w:t>
      </w:r>
      <w:proofErr w:type="gramEnd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>.</w:t>
      </w:r>
      <w:r>
        <w:rPr>
          <w:rFonts w:ascii="Traditional Arabic" w:hAnsi="Traditional Arabic" w:cs="Traditional Arabic"/>
          <w:color w:val="000000"/>
          <w:sz w:val="32"/>
          <w:szCs w:val="32"/>
          <w:lang w:eastAsia="fr-FR"/>
        </w:rPr>
        <w:t xml:space="preserve"> </w:t>
      </w:r>
      <w:proofErr w:type="gramStart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>وبعد</w:t>
      </w:r>
      <w:proofErr w:type="gramEnd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>ذلك،</w:t>
      </w:r>
      <w:proofErr w:type="spellEnd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يبين </w:t>
      </w:r>
      <w:r w:rsidRPr="005A7834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fr-FR"/>
        </w:rPr>
        <w:t>طريقة</w:t>
      </w:r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توزيعهم فوق </w:t>
      </w:r>
      <w:proofErr w:type="spellStart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>الأرض،</w:t>
      </w:r>
      <w:proofErr w:type="spellEnd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</w:t>
      </w:r>
      <w:r w:rsidRPr="005A7834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fr-FR"/>
        </w:rPr>
        <w:t>وحجم</w:t>
      </w:r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هذه الساكنة وسعتها </w:t>
      </w:r>
      <w:r w:rsidRPr="005A7834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fr-FR"/>
        </w:rPr>
        <w:t>وكثافتها</w:t>
      </w:r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>وامتدادها،</w:t>
      </w:r>
      <w:proofErr w:type="spellEnd"/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مع رصد جميع الأشياء التي </w:t>
      </w:r>
      <w:r w:rsidRPr="005A7834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fr-FR"/>
        </w:rPr>
        <w:t>تتحكم</w:t>
      </w:r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في العلاقات الاجتماعية. </w:t>
      </w:r>
    </w:p>
    <w:p w:rsidR="00534378" w:rsidRDefault="00EE402D" w:rsidP="00534378">
      <w:pPr>
        <w:pStyle w:val="Sansinterligne"/>
        <w:bidi/>
        <w:jc w:val="both"/>
        <w:rPr>
          <w:rFonts w:ascii="Traditional Arabic" w:hAnsi="Traditional Arabic" w:cs="Traditional Arabic" w:hint="cs"/>
          <w:color w:val="000000"/>
          <w:sz w:val="32"/>
          <w:szCs w:val="32"/>
          <w:rtl/>
          <w:lang w:eastAsia="fr-FR"/>
        </w:rPr>
      </w:pPr>
      <w:r>
        <w:rPr>
          <w:rFonts w:ascii="Traditional Arabic" w:hAnsi="Traditional Arabic" w:cs="Traditional Arabic"/>
          <w:color w:val="000000"/>
          <w:sz w:val="32"/>
          <w:szCs w:val="32"/>
          <w:lang w:eastAsia="fr-FR"/>
        </w:rPr>
        <w:t xml:space="preserve">    </w:t>
      </w:r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ومن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هنا،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فالمورفولوجيا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الاجتماعية،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عند موريس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هالبواك،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عبارة عن </w:t>
      </w:r>
      <w:r w:rsidRPr="005A7834">
        <w:rPr>
          <w:rFonts w:ascii="Traditional Arabic" w:hAnsi="Traditional Arabic" w:cs="Traditional Arabic"/>
          <w:b/>
          <w:bCs/>
          <w:sz w:val="32"/>
          <w:szCs w:val="32"/>
          <w:rtl/>
          <w:lang w:eastAsia="fr-FR"/>
        </w:rPr>
        <w:t>وحدات بنيوية مادية</w:t>
      </w:r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تشكل الحياة المجتمعية الكلية. </w:t>
      </w:r>
      <w:proofErr w:type="gram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ومن</w:t>
      </w:r>
      <w:proofErr w:type="gram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ثم،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5A7834">
        <w:rPr>
          <w:rFonts w:ascii="Traditional Arabic" w:hAnsi="Traditional Arabic" w:cs="Traditional Arabic"/>
          <w:b/>
          <w:bCs/>
          <w:sz w:val="32"/>
          <w:szCs w:val="32"/>
          <w:rtl/>
          <w:lang w:eastAsia="fr-FR"/>
        </w:rPr>
        <w:t>تعتمد</w:t>
      </w:r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على المعطيات الفيزيائية المادية</w:t>
      </w:r>
      <w:r w:rsidRPr="00B10EFF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 xml:space="preserve"> (</w:t>
      </w:r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الجغرافيا والهندسة</w:t>
      </w:r>
      <w:proofErr w:type="spellStart"/>
      <w:r w:rsidRPr="00B10EFF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)</w:t>
      </w:r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،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والمعطيات الاقتصادية</w:t>
      </w:r>
      <w:r w:rsidRPr="00B10EFF">
        <w:rPr>
          <w:rFonts w:ascii="Traditional Arabic" w:hAnsi="Traditional Arabic" w:cs="Traditional Arabic"/>
          <w:sz w:val="32"/>
          <w:szCs w:val="32"/>
          <w:lang w:eastAsia="fr-FR"/>
        </w:rPr>
        <w:t xml:space="preserve"> </w:t>
      </w:r>
      <w:proofErr w:type="spellStart"/>
      <w:r w:rsidRPr="00B10EFF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(</w:t>
      </w:r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الإنتاج،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والتوزيع،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والتبادل،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والاستهلاك</w:t>
      </w:r>
      <w:proofErr w:type="spellStart"/>
      <w:r w:rsidRPr="00B10EFF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)</w:t>
      </w:r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،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والأنشطة الإنسانية</w:t>
      </w:r>
      <w:r w:rsidRPr="00B10EFF">
        <w:rPr>
          <w:rFonts w:ascii="Traditional Arabic" w:hAnsi="Traditional Arabic" w:cs="Traditional Arabic"/>
          <w:sz w:val="32"/>
          <w:szCs w:val="32"/>
          <w:lang w:eastAsia="fr-FR"/>
        </w:rPr>
        <w:t xml:space="preserve"> </w:t>
      </w:r>
      <w:r w:rsidRPr="00B10EFF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(</w:t>
      </w:r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الأفعال والممارسات الإنسانية</w:t>
      </w:r>
      <w:proofErr w:type="spellStart"/>
      <w:r w:rsidRPr="00B10EFF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).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lang w:eastAsia="fr-FR"/>
        </w:rPr>
        <w:t xml:space="preserve"> </w:t>
      </w:r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ومن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هنا،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فالمورفولوجيا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الاجتماعية </w:t>
      </w:r>
      <w:r w:rsidRPr="005A7834">
        <w:rPr>
          <w:rFonts w:ascii="Traditional Arabic" w:hAnsi="Traditional Arabic" w:cs="Traditional Arabic"/>
          <w:b/>
          <w:bCs/>
          <w:sz w:val="32"/>
          <w:szCs w:val="32"/>
          <w:rtl/>
          <w:lang w:eastAsia="fr-FR"/>
        </w:rPr>
        <w:t>عبارة</w:t>
      </w:r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عن ظواهر مادية يتأسس عليها المجتمع.</w:t>
      </w:r>
      <w:r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 xml:space="preserve"> </w:t>
      </w:r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ومن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ثم،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فهي توزيع للساكنة فوق الأرض في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مناطق،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ومدن،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وأحياء،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إلخ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.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أي: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توزيع جغرافي </w:t>
      </w:r>
      <w:proofErr w:type="spellStart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وديموغرافي</w:t>
      </w:r>
      <w:proofErr w:type="spellEnd"/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أكثر مما</w:t>
      </w:r>
      <w:r w:rsidRPr="00B10EFF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 xml:space="preserve"> </w:t>
      </w:r>
      <w:r w:rsidRPr="00B10EFF">
        <w:rPr>
          <w:rFonts w:ascii="Traditional Arabic" w:hAnsi="Traditional Arabic" w:cs="Traditional Arabic"/>
          <w:sz w:val="32"/>
          <w:szCs w:val="32"/>
          <w:rtl/>
          <w:lang w:eastAsia="fr-FR"/>
        </w:rPr>
        <w:t>هو توزيع حسب الجنس</w:t>
      </w:r>
      <w:r w:rsidRPr="00062037">
        <w:rPr>
          <w:rFonts w:ascii="Traditional Arabic" w:hAnsi="Traditional Arabic" w:cs="Traditional Arabic"/>
          <w:color w:val="000000"/>
          <w:sz w:val="32"/>
          <w:szCs w:val="32"/>
          <w:rtl/>
          <w:lang w:eastAsia="fr-FR"/>
        </w:rPr>
        <w:t xml:space="preserve"> أو السن أو الجماعات الاجتماعية أو المؤسسات. </w:t>
      </w:r>
    </w:p>
    <w:p w:rsidR="00EE402D" w:rsidRDefault="00EE402D" w:rsidP="00EE402D">
      <w:pPr>
        <w:pStyle w:val="Sansinterligne"/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وينتهي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إلى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دراسة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71D0">
        <w:rPr>
          <w:rFonts w:ascii="Traditional Arabic" w:hAnsi="Traditional Arabic" w:cs="Traditional Arabic"/>
          <w:b/>
          <w:bCs/>
          <w:sz w:val="32"/>
          <w:szCs w:val="32"/>
          <w:rtl/>
        </w:rPr>
        <w:t>العلاقة</w:t>
      </w:r>
      <w:r w:rsidRPr="00FD71D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D71D0">
        <w:rPr>
          <w:rFonts w:ascii="Traditional Arabic" w:hAnsi="Traditional Arabic" w:cs="Traditional Arabic"/>
          <w:b/>
          <w:bCs/>
          <w:sz w:val="32"/>
          <w:szCs w:val="32"/>
          <w:rtl/>
        </w:rPr>
        <w:t>بين</w:t>
      </w:r>
      <w:r w:rsidRPr="00FD71D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D71D0">
        <w:rPr>
          <w:rFonts w:ascii="Traditional Arabic" w:hAnsi="Traditional Arabic" w:cs="Traditional Arabic"/>
          <w:b/>
          <w:bCs/>
          <w:sz w:val="32"/>
          <w:szCs w:val="32"/>
          <w:rtl/>
        </w:rPr>
        <w:t>البناء</w:t>
      </w:r>
      <w:r w:rsidRPr="00FD71D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D71D0">
        <w:rPr>
          <w:rFonts w:ascii="Traditional Arabic" w:hAnsi="Traditional Arabic" w:cs="Traditional Arabic"/>
          <w:b/>
          <w:bCs/>
          <w:sz w:val="32"/>
          <w:szCs w:val="32"/>
          <w:rtl/>
        </w:rPr>
        <w:t>الاجتماعي</w:t>
      </w:r>
      <w:r w:rsidRPr="00FD71D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D71D0">
        <w:rPr>
          <w:rFonts w:ascii="Traditional Arabic" w:hAnsi="Traditional Arabic" w:cs="Traditional Arabic"/>
          <w:b/>
          <w:bCs/>
          <w:sz w:val="32"/>
          <w:szCs w:val="32"/>
          <w:rtl/>
        </w:rPr>
        <w:t>والبيئة</w:t>
      </w:r>
      <w:r w:rsidRPr="00FD71D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spellStart"/>
      <w:r w:rsidRPr="00FD71D0">
        <w:rPr>
          <w:rFonts w:ascii="Traditional Arabic" w:hAnsi="Traditional Arabic" w:cs="Traditional Arabic"/>
          <w:b/>
          <w:bCs/>
          <w:sz w:val="32"/>
          <w:szCs w:val="32"/>
          <w:rtl/>
        </w:rPr>
        <w:t>الفيزيقية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،</w:t>
      </w:r>
      <w:proofErr w:type="spellEnd"/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وخاصة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الصورة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المادية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تميز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البناء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الاجتماعي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لمجتمع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معين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بيئة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فيزيقية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FD6535">
        <w:rPr>
          <w:rFonts w:ascii="Traditional Arabic" w:hAnsi="Traditional Arabic" w:cs="Traditional Arabic"/>
          <w:sz w:val="32"/>
          <w:szCs w:val="32"/>
          <w:rtl/>
        </w:rPr>
        <w:t>محددة،</w:t>
      </w:r>
      <w:proofErr w:type="spellEnd"/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ضوء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نماذج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التوزيع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المكاني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نماذج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السكان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FD6535">
        <w:rPr>
          <w:rFonts w:ascii="Traditional Arabic" w:hAnsi="Traditional Arabic" w:cs="Traditional Arabic"/>
          <w:sz w:val="32"/>
          <w:szCs w:val="32"/>
          <w:rtl/>
        </w:rPr>
        <w:t>والخدمات،</w:t>
      </w:r>
      <w:proofErr w:type="spellEnd"/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والكثافة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السكانية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6535">
        <w:rPr>
          <w:rFonts w:ascii="Traditional Arabic" w:hAnsi="Traditional Arabic" w:cs="Traditional Arabic"/>
          <w:sz w:val="32"/>
          <w:szCs w:val="32"/>
          <w:rtl/>
        </w:rPr>
        <w:t>وغير</w:t>
      </w:r>
      <w:r w:rsidRPr="00FD6535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ذلك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645429" w:rsidRPr="002471EB" w:rsidRDefault="00645429" w:rsidP="00645429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02D" w:rsidRDefault="008B228F" w:rsidP="00EE402D">
      <w:pPr>
        <w:pStyle w:val="Sansinterligne"/>
        <w:bidi/>
        <w:jc w:val="both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3</w:t>
      </w:r>
      <w:r w:rsidR="00EE402D"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 xml:space="preserve"> ـ </w:t>
      </w:r>
      <w:proofErr w:type="gramStart"/>
      <w:r w:rsidR="00EE402D" w:rsidRPr="00F00DF2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المضاربة</w:t>
      </w:r>
      <w:proofErr w:type="gramEnd"/>
      <w:r w:rsidR="00EE402D" w:rsidRPr="00F00DF2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العقارية ومخططات التهيئة الحضرية</w:t>
      </w:r>
      <w:r w:rsidR="00EE402D"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:</w:t>
      </w:r>
    </w:p>
    <w:p w:rsidR="00501CCC" w:rsidRDefault="00EE402D" w:rsidP="00EE402D">
      <w:pPr>
        <w:pStyle w:val="Sansinterligne"/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1B7F4A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1B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أطروحتي</w:t>
      </w:r>
      <w:r w:rsidRPr="001B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1B7F4A">
        <w:rPr>
          <w:rFonts w:ascii="Traditional Arabic" w:hAnsi="Traditional Arabic" w:cs="Traditional Arabic" w:hint="cs"/>
          <w:sz w:val="32"/>
          <w:szCs w:val="32"/>
          <w:rtl/>
        </w:rPr>
        <w:t>القانون،</w:t>
      </w:r>
      <w:proofErr w:type="spellEnd"/>
      <w:r w:rsidRPr="001B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B7F4A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1B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B7F4A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1B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1B7F4A">
        <w:rPr>
          <w:rFonts w:ascii="Traditional Arabic" w:hAnsi="Traditional Arabic" w:cs="Traditional Arabic"/>
          <w:sz w:val="32"/>
          <w:szCs w:val="32"/>
          <w:rtl/>
        </w:rPr>
        <w:t>1909</w:t>
      </w:r>
      <w:r w:rsidRPr="001B7F4A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Pr="001B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والمصادرات</w:t>
      </w:r>
      <w:r w:rsidRPr="001B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B7F4A">
        <w:rPr>
          <w:rFonts w:ascii="Traditional Arabic" w:hAnsi="Traditional Arabic" w:cs="Traditional Arabic" w:hint="cs"/>
          <w:sz w:val="32"/>
          <w:szCs w:val="32"/>
          <w:rtl/>
        </w:rPr>
        <w:t>وسعر</w:t>
      </w:r>
      <w:r w:rsidRPr="001B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B7F4A">
        <w:rPr>
          <w:rFonts w:ascii="Traditional Arabic" w:hAnsi="Traditional Arabic" w:cs="Traditional Arabic" w:hint="cs"/>
          <w:sz w:val="32"/>
          <w:szCs w:val="32"/>
          <w:rtl/>
        </w:rPr>
        <w:t>الأرض</w:t>
      </w:r>
      <w:r w:rsidRPr="001B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B7F4A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1B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B7F4A">
        <w:rPr>
          <w:rFonts w:ascii="Traditional Arabic" w:hAnsi="Traditional Arabic" w:cs="Traditional Arabic" w:hint="cs"/>
          <w:sz w:val="32"/>
          <w:szCs w:val="32"/>
          <w:rtl/>
        </w:rPr>
        <w:t>باريس</w:t>
      </w:r>
      <w:r w:rsidRPr="001B7F4A">
        <w:rPr>
          <w:rFonts w:ascii="Traditional Arabic" w:hAnsi="Traditional Arabic" w:cs="Traditional Arabic"/>
          <w:sz w:val="32"/>
          <w:szCs w:val="32"/>
          <w:rtl/>
        </w:rPr>
        <w:t xml:space="preserve"> (1860-1900</w:t>
      </w:r>
      <w:proofErr w:type="spellStart"/>
      <w:r w:rsidRPr="001B7F4A">
        <w:rPr>
          <w:rFonts w:ascii="Traditional Arabic" w:hAnsi="Traditional Arabic" w:cs="Traditional Arabic"/>
          <w:sz w:val="32"/>
          <w:szCs w:val="32"/>
          <w:rtl/>
        </w:rPr>
        <w:t>)</w:t>
      </w:r>
      <w:r w:rsidRPr="001B7F4A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Pr="001B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يوضح</w:t>
      </w:r>
      <w:r w:rsidRPr="0001785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هالبواك</w:t>
      </w:r>
      <w:proofErr w:type="spellEnd"/>
      <w:r w:rsidRPr="0001785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الظاهرة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التاريخية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تبدو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صلة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فقط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بالنهج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التقليدي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المتمثل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دراسة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قرارات</w:t>
      </w:r>
      <w:r w:rsidRPr="0001785F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السلطات</w:t>
      </w:r>
      <w:r w:rsidRPr="0001785F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proofErr w:type="spellStart"/>
      <w:r w:rsidRPr="0001785F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والمخططين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الواقع،</w:t>
      </w:r>
      <w:proofErr w:type="spellEnd"/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وفقا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لتعبيره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وبعيدا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حقيقة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71D0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إعادة</w:t>
      </w:r>
      <w:r w:rsidRPr="00FD71D0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FD71D0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تشكيل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مركز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باريس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عمل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القادة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السياسيين،</w:t>
      </w:r>
      <w:proofErr w:type="spellEnd"/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01785F">
        <w:rPr>
          <w:rFonts w:ascii="Traditional Arabic" w:hAnsi="Traditional Arabic" w:cs="Traditional Arabic" w:hint="cs"/>
          <w:sz w:val="32"/>
          <w:szCs w:val="32"/>
          <w:rtl/>
        </w:rPr>
        <w:t>هوسمان</w:t>
      </w:r>
      <w:proofErr w:type="spellEnd"/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01785F">
        <w:rPr>
          <w:rFonts w:ascii="Traditional Arabic" w:hAnsi="Traditional Arabic" w:cs="Traditional Arabic" w:hint="cs"/>
          <w:sz w:val="32"/>
          <w:szCs w:val="32"/>
          <w:rtl/>
        </w:rPr>
        <w:t>والمضاربين،</w:t>
      </w:r>
      <w:proofErr w:type="spellEnd"/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يعتقد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01785F">
        <w:rPr>
          <w:rFonts w:ascii="Traditional Arabic" w:hAnsi="Traditional Arabic" w:cs="Traditional Arabic" w:hint="cs"/>
          <w:sz w:val="32"/>
          <w:szCs w:val="32"/>
          <w:rtl/>
        </w:rPr>
        <w:t>عموما،</w:t>
      </w:r>
      <w:proofErr w:type="spellEnd"/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إعادة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تشكيل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المناطق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الحضرية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الواقع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نتيجة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ضغط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أعم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وأبعد</w:t>
      </w:r>
      <w:r w:rsidRPr="0001785F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مدى</w:t>
      </w:r>
      <w:r w:rsidRPr="0001785F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من</w:t>
      </w:r>
      <w:r w:rsidRPr="0001785F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تحركات</w:t>
      </w:r>
      <w:r w:rsidRPr="0001785F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السكان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فالمصادرة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وفتح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الطرق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الجديدة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ليست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آثار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القرارات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التعسفية،</w:t>
      </w:r>
      <w:proofErr w:type="spellEnd"/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ولكنها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01785F">
        <w:rPr>
          <w:rFonts w:ascii="Traditional Arabic" w:hAnsi="Traditional Arabic" w:cs="Traditional Arabic" w:hint="cs"/>
          <w:sz w:val="32"/>
          <w:szCs w:val="32"/>
          <w:rtl/>
        </w:rPr>
        <w:t>تظهر،</w:t>
      </w:r>
      <w:proofErr w:type="spellEnd"/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احتياجات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التداول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المرتبطة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بحركات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السكان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تكشف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دراسة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785F">
        <w:rPr>
          <w:rFonts w:ascii="Traditional Arabic" w:hAnsi="Traditional Arabic" w:cs="Traditional Arabic" w:hint="cs"/>
          <w:sz w:val="32"/>
          <w:szCs w:val="32"/>
          <w:rtl/>
        </w:rPr>
        <w:t>تحولاتها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proofErr w:type="spellStart"/>
      <w:r w:rsidRPr="0001785F">
        <w:rPr>
          <w:rFonts w:ascii="Traditional Arabic" w:hAnsi="Traditional Arabic" w:cs="Traditional Arabic" w:hint="cs"/>
          <w:sz w:val="32"/>
          <w:szCs w:val="32"/>
          <w:rtl/>
        </w:rPr>
        <w:t>المورفولوجية</w:t>
      </w:r>
      <w:r w:rsidRPr="0001785F">
        <w:rPr>
          <w:rFonts w:ascii="Traditional Arabic" w:hAnsi="Traditional Arabic" w:cs="Traditional Arabic"/>
          <w:sz w:val="32"/>
          <w:szCs w:val="32"/>
          <w:rtl/>
        </w:rPr>
        <w:t>".</w:t>
      </w:r>
      <w:proofErr w:type="spellEnd"/>
      <w:r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EE402D" w:rsidRDefault="00501CCC" w:rsidP="00501CCC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proofErr w:type="spellStart"/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وبالمثل،</w:t>
      </w:r>
      <w:proofErr w:type="spellEnd"/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أطروحته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>1912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حول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الطبقة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العاملة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ومستوى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المعيشة،</w:t>
      </w:r>
      <w:proofErr w:type="spellEnd"/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proofErr w:type="spellStart"/>
      <w:r w:rsidR="00EE402D" w:rsidRPr="00B562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هالبواك</w:t>
      </w:r>
      <w:proofErr w:type="spellEnd"/>
      <w:r w:rsidR="00EE402D" w:rsidRPr="0001785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يطور</w:t>
      </w:r>
      <w:r w:rsidR="00EE402D" w:rsidRPr="0001785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أطروحة</w:t>
      </w:r>
      <w:r w:rsidR="00EE402D" w:rsidRPr="0001785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</w:t>
      </w:r>
      <w:r w:rsidR="00EE402D" w:rsidRPr="0001785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توزيع</w:t>
      </w:r>
      <w:r w:rsidR="00EE402D" w:rsidRPr="0001785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الإنفاق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تفسيره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مقدار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دخل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العمال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وحده،</w:t>
      </w:r>
      <w:proofErr w:type="spellEnd"/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ولكن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تؤخذ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الاعتبار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العامل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الأساسي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معيار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حياة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العامل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المفهوم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مستوى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المعيشة،</w:t>
      </w:r>
      <w:proofErr w:type="spellEnd"/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EE402D">
        <w:rPr>
          <w:rFonts w:ascii="Traditional Arabic" w:hAnsi="Traditional Arabic" w:cs="Traditional Arabic" w:hint="cs"/>
          <w:sz w:val="32"/>
          <w:szCs w:val="32"/>
          <w:rtl/>
        </w:rPr>
        <w:t>هالبوش</w:t>
      </w:r>
      <w:proofErr w:type="spellEnd"/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يتضمن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العادات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اليومية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والتمثيل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العمال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جعل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السلع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تعتبر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الأكثر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402D" w:rsidRPr="0001785F"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="00EE402D" w:rsidRPr="0001785F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E402D" w:rsidRDefault="00EE402D" w:rsidP="00EE402D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471EB">
        <w:rPr>
          <w:rFonts w:ascii="Traditional Arabic" w:hAnsi="Traditional Arabic" w:cs="Traditional Arabic"/>
          <w:b/>
          <w:bCs/>
          <w:color w:val="000000"/>
          <w:sz w:val="32"/>
          <w:szCs w:val="32"/>
          <w:lang w:val="en-US" w:eastAsia="fr-FR" w:bidi="ar-DZ"/>
        </w:rPr>
        <w:t xml:space="preserve">  </w:t>
      </w:r>
      <w:r w:rsidRPr="002471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وفي</w:t>
      </w:r>
      <w:r w:rsidRPr="002471E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471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الناس</w:t>
      </w:r>
      <w:r w:rsidRPr="002471E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471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والمسارات</w:t>
      </w:r>
      <w:r w:rsidRPr="002471E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471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2471E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471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باريس</w:t>
      </w:r>
      <w:r w:rsidRPr="002471E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471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لمدة</w:t>
      </w:r>
      <w:r w:rsidRPr="002471E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471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مئة</w:t>
      </w:r>
      <w:r w:rsidRPr="002471E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(1928</w:t>
      </w:r>
      <w:proofErr w:type="spellStart"/>
      <w:r w:rsidRPr="00125099">
        <w:rPr>
          <w:rFonts w:ascii="Traditional Arabic" w:hAnsi="Traditional Arabic" w:cs="Traditional Arabic"/>
          <w:sz w:val="32"/>
          <w:szCs w:val="32"/>
          <w:rtl/>
        </w:rPr>
        <w:t>)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يهتم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هالبواك</w:t>
      </w:r>
      <w:proofErr w:type="spellEnd"/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307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بالتفاعلات</w:t>
      </w:r>
      <w:r w:rsidRPr="0003070B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0307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بين</w:t>
      </w:r>
      <w:r w:rsidRPr="0003070B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0307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تحركات</w:t>
      </w:r>
      <w:r w:rsidRPr="0003070B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0307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السكان</w:t>
      </w:r>
      <w:r w:rsidRPr="0003070B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0307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وتحولات</w:t>
      </w:r>
      <w:r w:rsidRPr="0003070B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0307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الأشكال</w:t>
      </w:r>
      <w:r w:rsidRPr="0003070B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0307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الحضرية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باريس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التي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بالكاد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خرجت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موجات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كبيرة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التجديدات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الهوسمانية</w:t>
      </w:r>
      <w:proofErr w:type="spellEnd"/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proofErr w:type="gramStart"/>
      <w:r w:rsidRPr="00125099">
        <w:rPr>
          <w:rFonts w:ascii="Traditional Arabic" w:hAnsi="Traditional Arabic" w:cs="Traditional Arabic" w:hint="cs"/>
          <w:sz w:val="32"/>
          <w:szCs w:val="32"/>
          <w:rtl/>
        </w:rPr>
        <w:t>وبما</w:t>
      </w:r>
      <w:proofErr w:type="gramEnd"/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يتعارض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النهج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السياسية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التي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125099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شأن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5114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الجهد</w:t>
      </w:r>
      <w:r w:rsidRPr="00D55114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D55114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التخطيطي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العام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العاصمة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هدف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صد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وتفريق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المزيد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والمزيد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تهديدات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الطبقات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العاملة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خارج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المناطق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المركزية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125099">
        <w:rPr>
          <w:rFonts w:ascii="Traditional Arabic" w:hAnsi="Traditional Arabic" w:cs="Traditional Arabic" w:hint="cs"/>
          <w:sz w:val="32"/>
          <w:szCs w:val="32"/>
          <w:rtl/>
        </w:rPr>
        <w:t>باريس،</w:t>
      </w:r>
      <w:proofErr w:type="spellEnd"/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فإنه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125099">
        <w:rPr>
          <w:rFonts w:ascii="Traditional Arabic" w:hAnsi="Traditional Arabic" w:cs="Traditional Arabic" w:hint="cs"/>
          <w:sz w:val="32"/>
          <w:szCs w:val="32"/>
          <w:rtl/>
        </w:rPr>
        <w:t>يدل،</w:t>
      </w:r>
      <w:proofErr w:type="spellEnd"/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دراسة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دقيقة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وشاملة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في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063C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شارع</w:t>
      </w:r>
      <w:r w:rsidRPr="004F063C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4F063C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اختراق</w:t>
      </w:r>
      <w:r w:rsidRPr="004F063C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4F063C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جديد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063C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يستجيب</w:t>
      </w:r>
      <w:r w:rsidRPr="004F063C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4F063C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في</w:t>
      </w:r>
      <w:r w:rsidRPr="004F063C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4F063C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الواقع</w:t>
      </w:r>
      <w:r w:rsidRPr="004F063C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4F063C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للاحتياجات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الموجودة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مسبقا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1250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25099">
        <w:rPr>
          <w:rFonts w:ascii="Traditional Arabic" w:hAnsi="Traditional Arabic" w:cs="Traditional Arabic" w:hint="cs"/>
          <w:sz w:val="32"/>
          <w:szCs w:val="32"/>
          <w:rtl/>
        </w:rPr>
        <w:t>التجارة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وتداولها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فيما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يتعلق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بتهيئة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المنطقة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>(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مركز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0A1962">
        <w:rPr>
          <w:rFonts w:ascii="Traditional Arabic" w:hAnsi="Traditional Arabic" w:cs="Traditional Arabic" w:hint="cs"/>
          <w:sz w:val="32"/>
          <w:szCs w:val="32"/>
          <w:rtl/>
        </w:rPr>
        <w:t>تسوق،</w:t>
      </w:r>
      <w:proofErr w:type="spellEnd"/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قناة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اتصال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محورين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نقل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كثيفين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وغير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0A1962">
        <w:rPr>
          <w:rFonts w:ascii="Traditional Arabic" w:hAnsi="Traditional Arabic" w:cs="Traditional Arabic" w:hint="cs"/>
          <w:sz w:val="32"/>
          <w:szCs w:val="32"/>
          <w:rtl/>
        </w:rPr>
        <w:t>متصلين،</w:t>
      </w:r>
      <w:proofErr w:type="spellEnd"/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واجهة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حيين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تكميليين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وجهة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A1962">
        <w:rPr>
          <w:rFonts w:ascii="Traditional Arabic" w:hAnsi="Traditional Arabic" w:cs="Traditional Arabic" w:hint="cs"/>
          <w:sz w:val="32"/>
          <w:szCs w:val="32"/>
          <w:rtl/>
        </w:rPr>
        <w:t>نظر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0A1962">
        <w:rPr>
          <w:rFonts w:ascii="Traditional Arabic" w:hAnsi="Traditional Arabic" w:cs="Traditional Arabic" w:hint="cs"/>
          <w:sz w:val="32"/>
          <w:szCs w:val="32"/>
          <w:rtl/>
        </w:rPr>
        <w:t>مواردهما</w:t>
      </w:r>
      <w:r w:rsidRPr="000A1962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proofErr w:type="gramEnd"/>
      <w:r w:rsidRPr="000A1962">
        <w:rPr>
          <w:rFonts w:ascii="Traditional Arabic" w:hAnsi="Traditional Arabic" w:cs="Traditional Arabic"/>
          <w:sz w:val="32"/>
          <w:szCs w:val="32"/>
          <w:rtl/>
        </w:rPr>
        <w:t>..</w:t>
      </w:r>
      <w:proofErr w:type="spellStart"/>
      <w:r w:rsidRPr="000A1962">
        <w:rPr>
          <w:rFonts w:ascii="Traditional Arabic" w:hAnsi="Traditional Arabic" w:cs="Traditional Arabic"/>
          <w:sz w:val="32"/>
          <w:szCs w:val="32"/>
          <w:rtl/>
        </w:rPr>
        <w:t>).</w:t>
      </w:r>
      <w:proofErr w:type="spellEnd"/>
      <w:r w:rsidRPr="00BE1EAA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EE402D" w:rsidRPr="002471EB" w:rsidRDefault="00EE402D" w:rsidP="00EE402D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8D1AD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en-US" w:eastAsia="fr-FR" w:bidi="ar-DZ"/>
        </w:rPr>
        <w:t xml:space="preserve">ويقول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en-US" w:eastAsia="fr-FR" w:bidi="ar-DZ"/>
        </w:rPr>
        <w:t xml:space="preserve">بعد ذلك </w:t>
      </w:r>
      <w:r w:rsidRPr="008D1AD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en-US" w:eastAsia="fr-FR" w:bidi="ar-DZ"/>
        </w:rPr>
        <w:t>أن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en-US" w:eastAsia="fr-FR" w:bidi="ar-DZ"/>
        </w:rPr>
        <w:t>ه</w:t>
      </w:r>
      <w:r w:rsidRPr="008D1AD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en-US" w:eastAsia="fr-FR" w:bidi="ar-DZ"/>
        </w:rPr>
        <w:t xml:space="preserve"> بعد بلورة الأشكال </w:t>
      </w:r>
      <w:proofErr w:type="spellStart"/>
      <w:r w:rsidRPr="008D1ADB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en-US" w:eastAsia="fr-FR" w:bidi="ar-DZ"/>
        </w:rPr>
        <w:t>المادية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،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تتطور حسب </w:t>
      </w:r>
      <w:proofErr w:type="spellStart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ديناميتها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الخاصة،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وبهذا ذاته تقاوم </w:t>
      </w:r>
      <w:proofErr w:type="spellStart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التغير،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وهكذا يفسر تكون المدن </w:t>
      </w:r>
      <w:proofErr w:type="spellStart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الكبيرة،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فيجري تثبيت حدود </w:t>
      </w:r>
      <w:proofErr w:type="spellStart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المدينة،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وتنظيم دخول النازحين إليها. ومع هذا فإن </w:t>
      </w:r>
      <w:r w:rsidRPr="008D1ADB">
        <w:rPr>
          <w:rFonts w:ascii="Traditional Arabic" w:hAnsi="Traditional Arabic" w:cs="Traditional Arabic" w:hint="cs"/>
          <w:color w:val="FF0000"/>
          <w:sz w:val="32"/>
          <w:szCs w:val="32"/>
          <w:rtl/>
          <w:lang w:val="en-US" w:eastAsia="fr-FR" w:bidi="ar-DZ"/>
        </w:rPr>
        <w:t>دور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القوى </w:t>
      </w:r>
      <w:proofErr w:type="spellStart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الديموغرافية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يفلت من المراقبة ويفسد كل حسابات المجالس </w:t>
      </w:r>
      <w:proofErr w:type="spellStart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والإدارات،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وتأخذ المدن نسبا غير </w:t>
      </w:r>
      <w:proofErr w:type="spellStart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متوقعة،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تحت تأثير جاذبية ليست مادية </w:t>
      </w:r>
      <w:proofErr w:type="spellStart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فقط،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بل </w:t>
      </w:r>
      <w:r w:rsidRPr="008D1ADB">
        <w:rPr>
          <w:rFonts w:ascii="Traditional Arabic" w:hAnsi="Traditional Arabic" w:cs="Traditional Arabic" w:hint="cs"/>
          <w:color w:val="FF0000"/>
          <w:sz w:val="32"/>
          <w:szCs w:val="32"/>
          <w:rtl/>
          <w:lang w:val="en-US" w:eastAsia="fr-FR" w:bidi="ar-DZ"/>
        </w:rPr>
        <w:t>سيكولوجية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.</w:t>
      </w:r>
    </w:p>
    <w:p w:rsidR="00D50314" w:rsidRDefault="00EE402D" w:rsidP="00D50314">
      <w:pPr>
        <w:pStyle w:val="Sansinterligne"/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Pr="0044076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بالنسبة</w:t>
      </w:r>
      <w:r w:rsidRPr="004407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4076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Pr="0044076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44076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هالبواك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مصادرة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المخططات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C7EA3">
        <w:rPr>
          <w:rFonts w:ascii="Traditional Arabic" w:hAnsi="Traditional Arabic" w:cs="Traditional Arabic"/>
          <w:sz w:val="32"/>
          <w:szCs w:val="32"/>
          <w:rtl/>
        </w:rPr>
        <w:t>(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الدولة،</w:t>
      </w:r>
      <w:proofErr w:type="spellEnd"/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البلدية</w:t>
      </w:r>
      <w:proofErr w:type="spellStart"/>
      <w:r w:rsidRPr="004C7EA3">
        <w:rPr>
          <w:rFonts w:ascii="Traditional Arabic" w:hAnsi="Traditional Arabic" w:cs="Traditional Arabic"/>
          <w:sz w:val="32"/>
          <w:szCs w:val="32"/>
          <w:rtl/>
        </w:rPr>
        <w:t>)</w:t>
      </w:r>
      <w:proofErr w:type="spellEnd"/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قادرة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التنبؤ،</w:t>
      </w:r>
      <w:proofErr w:type="spellEnd"/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C7EA3">
        <w:rPr>
          <w:rFonts w:ascii="Traditional Arabic" w:hAnsi="Traditional Arabic" w:cs="Traditional Arabic" w:hint="cs"/>
          <w:sz w:val="32"/>
          <w:szCs w:val="32"/>
          <w:rtl/>
        </w:rPr>
        <w:t>توقع،</w:t>
      </w:r>
      <w:proofErr w:type="spellEnd"/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فرض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شيء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التنمية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الحضرية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proofErr w:type="gramStart"/>
      <w:r w:rsidRPr="004C7EA3">
        <w:rPr>
          <w:rFonts w:ascii="Traditional Arabic" w:hAnsi="Traditional Arabic" w:cs="Traditional Arabic" w:hint="cs"/>
          <w:sz w:val="32"/>
          <w:szCs w:val="32"/>
          <w:rtl/>
        </w:rPr>
        <w:t>فهي</w:t>
      </w:r>
      <w:proofErr w:type="gramEnd"/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تخضع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لضغط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مطالب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السكان؛</w:t>
      </w:r>
      <w:proofErr w:type="spellEnd"/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حزام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الإرسال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وهكذا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4C7EA3">
        <w:rPr>
          <w:rFonts w:ascii="Traditional Arabic" w:hAnsi="Traditional Arabic" w:cs="Traditional Arabic" w:hint="cs"/>
          <w:sz w:val="32"/>
          <w:szCs w:val="32"/>
          <w:rtl/>
        </w:rPr>
        <w:t>تقرر</w:t>
      </w:r>
      <w:proofErr w:type="gramEnd"/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السلطة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السياسية،</w:t>
      </w:r>
      <w:proofErr w:type="spellEnd"/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الملكية،</w:t>
      </w:r>
      <w:proofErr w:type="spellEnd"/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الإمبراطورية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0314">
        <w:rPr>
          <w:rFonts w:ascii="Traditional Arabic" w:hAnsi="Traditional Arabic" w:cs="Traditional Arabic" w:hint="cs"/>
          <w:sz w:val="32"/>
          <w:szCs w:val="32"/>
          <w:rtl/>
        </w:rPr>
        <w:t>الجمهورية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والتدابير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اتخذها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4C7EA3">
        <w:rPr>
          <w:rFonts w:ascii="Traditional Arabic" w:hAnsi="Traditional Arabic" w:cs="Traditional Arabic" w:hint="cs"/>
          <w:sz w:val="32"/>
          <w:szCs w:val="32"/>
          <w:rtl/>
        </w:rPr>
        <w:t>ليست</w:t>
      </w:r>
      <w:proofErr w:type="gramEnd"/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كذلك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لإضفاء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الطابع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الشرعي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التعديلات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تتم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خارج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المبادئ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التوجيهية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المقررة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وإضفاء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الطابع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الرسمي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C7EA3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4C7EA3"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D50314" w:rsidRDefault="00D50314" w:rsidP="00D50314">
      <w:pPr>
        <w:pStyle w:val="Sansinterligne"/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EE402D" w:rsidRDefault="008B228F" w:rsidP="00D50314">
      <w:pPr>
        <w:pStyle w:val="Sansinterligne"/>
        <w:bidi/>
        <w:jc w:val="both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4</w:t>
      </w:r>
      <w:r w:rsidR="00EE402D"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 xml:space="preserve"> ـ </w:t>
      </w:r>
      <w:r w:rsidR="00EE402D" w:rsidRPr="00F00DF2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الذاكرة</w:t>
      </w:r>
      <w:r w:rsidR="00EE402D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الجماعية و علاقتها بالإقامة</w:t>
      </w:r>
      <w:r w:rsidR="00EE402D"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:</w:t>
      </w:r>
    </w:p>
    <w:p w:rsidR="00EE402D" w:rsidRDefault="00EE402D" w:rsidP="00EE402D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4F5F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4F5F8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الذاكرة</w:t>
      </w:r>
      <w:r w:rsidRPr="004F5F8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الجماعية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(1950</w:t>
      </w:r>
      <w:proofErr w:type="spellStart"/>
      <w:r w:rsidRPr="004F5F84">
        <w:rPr>
          <w:rFonts w:ascii="Traditional Arabic" w:hAnsi="Traditional Arabic" w:cs="Traditional Arabic"/>
          <w:sz w:val="32"/>
          <w:szCs w:val="32"/>
          <w:rtl/>
        </w:rPr>
        <w:t>)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يوضح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F5F84">
        <w:rPr>
          <w:rFonts w:ascii="Traditional Arabic" w:hAnsi="Traditional Arabic" w:cs="Traditional Arabic" w:hint="cs"/>
          <w:sz w:val="32"/>
          <w:szCs w:val="32"/>
          <w:rtl/>
        </w:rPr>
        <w:t>هالبوا</w:t>
      </w:r>
      <w:r>
        <w:rPr>
          <w:rFonts w:ascii="Traditional Arabic" w:hAnsi="Traditional Arabic" w:cs="Traditional Arabic" w:hint="cs"/>
          <w:sz w:val="32"/>
          <w:szCs w:val="32"/>
          <w:rtl/>
        </w:rPr>
        <w:t>ش</w:t>
      </w:r>
      <w:proofErr w:type="spellEnd"/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الأشكال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بناء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الهوية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تدا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م</w:t>
      </w:r>
      <w:proofErr w:type="spellEnd"/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الذاكرة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الجماعية،</w:t>
      </w:r>
      <w:proofErr w:type="spellEnd"/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شيدت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اجتماعيا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وحافظت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عليها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وسائل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الإعلام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التقليدية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المختلفة،</w:t>
      </w:r>
      <w:proofErr w:type="spellEnd"/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وخاصة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المادية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F5F84">
        <w:rPr>
          <w:rFonts w:ascii="Traditional Arabic" w:hAnsi="Traditional Arabic" w:cs="Traditional Arabic" w:hint="cs"/>
          <w:sz w:val="32"/>
          <w:szCs w:val="32"/>
          <w:rtl/>
        </w:rPr>
        <w:t>والمكانية،</w:t>
      </w:r>
      <w:proofErr w:type="spellEnd"/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شكل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الأحياء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proofErr w:type="spellEnd"/>
      <w:r w:rsidRPr="00EB676E">
        <w:rPr>
          <w:rFonts w:ascii="Traditional Arabic" w:hAnsi="Traditional Arabic" w:cs="Traditional Arabic"/>
          <w:sz w:val="32"/>
          <w:szCs w:val="32"/>
        </w:rPr>
        <w:t>quartiers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proofErr w:type="spellEnd"/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ويبقى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نفهم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الأسباب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أدت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ظهور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التشكل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المناطق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الحضرية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خاص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موضحا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وجود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الاحتياجات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العقارات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المتباينة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sz w:val="32"/>
          <w:szCs w:val="32"/>
          <w:rtl/>
        </w:rPr>
        <w:t>اجتماعيا</w:t>
      </w:r>
      <w:r w:rsidRPr="004F5F84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E402D" w:rsidRDefault="00EE402D" w:rsidP="00535FDF">
      <w:pPr>
        <w:pStyle w:val="Sansinterligne"/>
        <w:bidi/>
        <w:jc w:val="both"/>
        <w:rPr>
          <w:rFonts w:ascii="Traditional Arabic" w:hAnsi="Traditional Arabic" w:cs="Traditional Arabic"/>
          <w:color w:val="000000"/>
          <w:sz w:val="32"/>
          <w:szCs w:val="32"/>
          <w:lang w:val="en-US" w:eastAsia="fr-FR" w:bidi="ar-DZ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   </w:t>
      </w:r>
      <w:r w:rsidRPr="009E151A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en-US" w:eastAsia="fr-FR" w:bidi="ar-DZ"/>
        </w:rPr>
        <w:t>وتفسر الوقائع الاجتماعية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الحياة النفسية </w:t>
      </w:r>
      <w:proofErr w:type="spellStart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السابقة،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والتصورات الاجتماعية التي </w:t>
      </w:r>
      <w:proofErr w:type="gramStart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وحدها</w:t>
      </w:r>
      <w:proofErr w:type="gram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تحدد لها معنى. </w:t>
      </w:r>
      <w:proofErr w:type="gramStart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وتقوم</w:t>
      </w:r>
      <w:proofErr w:type="gram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</w:t>
      </w:r>
      <w:r w:rsidRPr="003D5006">
        <w:rPr>
          <w:rFonts w:ascii="Traditional Arabic" w:hAnsi="Traditional Arabic" w:cs="Traditional Arabic" w:hint="cs"/>
          <w:color w:val="FF0000"/>
          <w:sz w:val="32"/>
          <w:szCs w:val="32"/>
          <w:rtl/>
          <w:lang w:val="en-US" w:eastAsia="fr-FR" w:bidi="ar-DZ"/>
        </w:rPr>
        <w:t>البواعث الفردية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بنسج تغيرات لا شأن لها في مجال التصميم العام </w:t>
      </w:r>
      <w:proofErr w:type="spellStart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للجماعة،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المتمثل بالاستمرار في الزمان والمكان.</w:t>
      </w:r>
      <w:r w:rsidR="00535FDF"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 xml:space="preserve"> </w:t>
      </w:r>
      <w:proofErr w:type="gramStart"/>
      <w:r w:rsidRPr="00DC4FD9">
        <w:rPr>
          <w:rFonts w:ascii="Traditional Arabic" w:hAnsi="Traditional Arabic" w:cs="Traditional Arabic"/>
          <w:b/>
          <w:bCs/>
          <w:sz w:val="32"/>
          <w:szCs w:val="32"/>
          <w:rtl/>
        </w:rPr>
        <w:t>والواقع</w:t>
      </w:r>
      <w:proofErr w:type="gramEnd"/>
      <w:r w:rsidRPr="00DC4FD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 أفكار الناس ومشاعرهم وتصرفاتهم</w:t>
      </w:r>
      <w:r w:rsidRPr="001E44AF">
        <w:rPr>
          <w:rFonts w:ascii="Traditional Arabic" w:hAnsi="Traditional Arabic" w:cs="Traditional Arabic"/>
          <w:sz w:val="32"/>
          <w:szCs w:val="32"/>
          <w:rtl/>
        </w:rPr>
        <w:t xml:space="preserve"> تتغير تبعا لكثافة وتكاثر العلاقات بيـنهم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en-US" w:eastAsia="fr-FR" w:bidi="ar-DZ"/>
        </w:rPr>
        <w:t>.</w:t>
      </w:r>
    </w:p>
    <w:p w:rsidR="00EE402D" w:rsidRDefault="00EE402D" w:rsidP="009223EF">
      <w:pPr>
        <w:pStyle w:val="Sansinterligne"/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4F5F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4F5F8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الطبقة</w:t>
      </w:r>
      <w:r w:rsidRPr="004F5F8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العاملة</w:t>
      </w:r>
      <w:r w:rsidRPr="004F5F8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ومستويات</w:t>
      </w:r>
      <w:r w:rsidRPr="004F5F8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F5F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الحياة</w:t>
      </w:r>
      <w:r w:rsidRPr="0015008D">
        <w:rPr>
          <w:rFonts w:ascii="Traditional Arabic" w:hAnsi="Traditional Arabic" w:cs="Traditional Arabic"/>
          <w:sz w:val="32"/>
          <w:szCs w:val="32"/>
          <w:rtl/>
        </w:rPr>
        <w:t xml:space="preserve"> (1913</w:t>
      </w:r>
      <w:proofErr w:type="spellStart"/>
      <w:r w:rsidRPr="0015008D">
        <w:rPr>
          <w:rFonts w:ascii="Traditional Arabic" w:hAnsi="Traditional Arabic" w:cs="Traditional Arabic"/>
          <w:sz w:val="32"/>
          <w:szCs w:val="32"/>
          <w:rtl/>
        </w:rPr>
        <w:t>)</w:t>
      </w:r>
      <w:r w:rsidRPr="0015008D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Pr="001500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هالبواش</w:t>
      </w:r>
      <w:proofErr w:type="spellEnd"/>
      <w:r w:rsidRPr="001500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08D">
        <w:rPr>
          <w:rFonts w:ascii="Traditional Arabic" w:hAnsi="Traditional Arabic" w:cs="Traditional Arabic" w:hint="cs"/>
          <w:sz w:val="32"/>
          <w:szCs w:val="32"/>
          <w:rtl/>
        </w:rPr>
        <w:t>طور</w:t>
      </w:r>
      <w:r w:rsidRPr="001500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08D">
        <w:rPr>
          <w:rFonts w:ascii="Traditional Arabic" w:hAnsi="Traditional Arabic" w:cs="Traditional Arabic" w:hint="cs"/>
          <w:sz w:val="32"/>
          <w:szCs w:val="32"/>
          <w:rtl/>
        </w:rPr>
        <w:t>نظرية</w:t>
      </w:r>
      <w:r w:rsidRPr="001500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08D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1500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08D">
        <w:rPr>
          <w:rFonts w:ascii="Traditional Arabic" w:hAnsi="Traditional Arabic" w:cs="Traditional Arabic" w:hint="cs"/>
          <w:sz w:val="32"/>
          <w:szCs w:val="32"/>
          <w:rtl/>
        </w:rPr>
        <w:t>الطبقات</w:t>
      </w:r>
      <w:r w:rsidRPr="001500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08D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Pr="001500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15008D">
        <w:rPr>
          <w:rFonts w:ascii="Traditional Arabic" w:hAnsi="Traditional Arabic" w:cs="Traditional Arabic" w:hint="cs"/>
          <w:sz w:val="32"/>
          <w:szCs w:val="32"/>
          <w:rtl/>
        </w:rPr>
        <w:t>توزع</w:t>
      </w:r>
      <w:r w:rsidRPr="001500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08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1500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08D">
        <w:rPr>
          <w:rFonts w:ascii="Traditional Arabic" w:hAnsi="Traditional Arabic" w:cs="Traditional Arabic" w:hint="cs"/>
          <w:sz w:val="32"/>
          <w:szCs w:val="32"/>
          <w:rtl/>
        </w:rPr>
        <w:t>الفضاء</w:t>
      </w:r>
      <w:r w:rsidRPr="001500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08D">
        <w:rPr>
          <w:rFonts w:ascii="Traditional Arabic" w:hAnsi="Traditional Arabic" w:cs="Traditional Arabic" w:hint="cs"/>
          <w:sz w:val="32"/>
          <w:szCs w:val="32"/>
          <w:rtl/>
        </w:rPr>
        <w:t>الاجتماعي</w:t>
      </w:r>
      <w:r w:rsidRPr="001500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08D">
        <w:rPr>
          <w:rFonts w:ascii="Traditional Arabic" w:hAnsi="Traditional Arabic" w:cs="Traditional Arabic" w:hint="cs"/>
          <w:sz w:val="32"/>
          <w:szCs w:val="32"/>
          <w:rtl/>
        </w:rPr>
        <w:t>الهرمي</w:t>
      </w:r>
      <w:r w:rsidRPr="001500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08D">
        <w:rPr>
          <w:rFonts w:ascii="Traditional Arabic" w:hAnsi="Traditional Arabic" w:cs="Traditional Arabic" w:hint="cs"/>
          <w:sz w:val="32"/>
          <w:szCs w:val="32"/>
          <w:rtl/>
        </w:rPr>
        <w:t>وفقا</w:t>
      </w:r>
      <w:r w:rsidRPr="001500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08D">
        <w:rPr>
          <w:rFonts w:ascii="Traditional Arabic" w:hAnsi="Traditional Arabic" w:cs="Traditional Arabic" w:hint="cs"/>
          <w:sz w:val="32"/>
          <w:szCs w:val="32"/>
          <w:rtl/>
        </w:rPr>
        <w:t>لمخطط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Pr="00605B6A">
        <w:rPr>
          <w:rFonts w:ascii="Traditional Arabic" w:hAnsi="Traditional Arabic" w:cs="Traditional Arabic" w:hint="cs"/>
          <w:sz w:val="32"/>
          <w:szCs w:val="32"/>
          <w:rtl/>
        </w:rPr>
        <w:t>وسط</w:t>
      </w:r>
      <w:r w:rsidRPr="00605B6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2"/>
          <w:szCs w:val="32"/>
          <w:rtl/>
        </w:rPr>
        <w:t>–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05B6A">
        <w:rPr>
          <w:rFonts w:ascii="Traditional Arabic" w:hAnsi="Traditional Arabic" w:cs="Traditional Arabic" w:hint="cs"/>
          <w:sz w:val="32"/>
          <w:szCs w:val="32"/>
          <w:rtl/>
        </w:rPr>
        <w:t>محيط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proofErr w:type="spellEnd"/>
      <w:r w:rsidRPr="00605B6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605B6A">
        <w:rPr>
          <w:rFonts w:ascii="Traditional Arabic" w:hAnsi="Traditional Arabic" w:cs="Traditional Arabic" w:hint="cs"/>
          <w:sz w:val="32"/>
          <w:szCs w:val="32"/>
          <w:rtl/>
        </w:rPr>
        <w:t>اعتمادا</w:t>
      </w:r>
      <w:r w:rsidRPr="00605B6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05B6A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05B6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موضوع</w:t>
      </w:r>
      <w:r w:rsidRPr="00605B6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05B6A">
        <w:rPr>
          <w:rFonts w:ascii="Traditional Arabic" w:hAnsi="Traditional Arabic" w:cs="Traditional Arabic" w:hint="cs"/>
          <w:sz w:val="32"/>
          <w:szCs w:val="32"/>
          <w:rtl/>
        </w:rPr>
        <w:t>عملهم</w:t>
      </w:r>
      <w:r w:rsidRPr="00605B6A"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تسعى</w:t>
      </w:r>
      <w:proofErr w:type="gramEnd"/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الطبقة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العاملة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سد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فجوة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التفاعل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المتأصلة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عملها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تطوير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نوع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الاستهلاك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توجها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للعلاقات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E38BA">
        <w:rPr>
          <w:rFonts w:ascii="Traditional Arabic" w:hAnsi="Traditional Arabic" w:cs="Traditional Arabic"/>
          <w:sz w:val="32"/>
          <w:szCs w:val="32"/>
          <w:rtl/>
        </w:rPr>
        <w:t>(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مباريات،</w:t>
      </w:r>
      <w:proofErr w:type="spellEnd"/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اجتماعات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الحانات.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>..</w:t>
      </w:r>
      <w:proofErr w:type="spellStart"/>
      <w:r w:rsidRPr="003E38BA">
        <w:rPr>
          <w:rFonts w:ascii="Traditional Arabic" w:hAnsi="Traditional Arabic" w:cs="Traditional Arabic"/>
          <w:sz w:val="32"/>
          <w:szCs w:val="32"/>
          <w:rtl/>
        </w:rPr>
        <w:t>)</w:t>
      </w:r>
      <w:proofErr w:type="spellEnd"/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وأقل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بالنسبة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E38BA">
        <w:rPr>
          <w:rFonts w:ascii="Traditional Arabic" w:hAnsi="Traditional Arabic" w:cs="Traditional Arabic" w:hint="cs"/>
          <w:sz w:val="32"/>
          <w:szCs w:val="32"/>
          <w:rtl/>
        </w:rPr>
        <w:t>الوضع</w:t>
      </w:r>
      <w:r w:rsidRPr="003E38B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223EF">
        <w:rPr>
          <w:rFonts w:ascii="Traditional Arabic" w:hAnsi="Traditional Arabic" w:cs="Traditional Arabic" w:hint="cs"/>
          <w:sz w:val="32"/>
          <w:szCs w:val="32"/>
          <w:rtl/>
        </w:rPr>
        <w:t>الخاص</w:t>
      </w:r>
      <w:r w:rsidRPr="009126C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E402D" w:rsidRDefault="00EE402D" w:rsidP="00EE402D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C634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وبناء</w:t>
      </w:r>
      <w:r w:rsidRPr="00C634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</w:t>
      </w:r>
      <w:r w:rsidRPr="00C634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C634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ذلك،</w:t>
      </w:r>
      <w:proofErr w:type="spellEnd"/>
      <w:r w:rsidRPr="00C634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يضع</w:t>
      </w:r>
      <w:r w:rsidRPr="00C634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موريس</w:t>
      </w:r>
      <w:r w:rsidRPr="00C634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C634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هالبواش</w:t>
      </w:r>
      <w:proofErr w:type="spellEnd"/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إطارا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تحليليا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متماسكا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يجعل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الطلب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المساكن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أسعار</w:t>
      </w:r>
      <w:r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تعبيرا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ندرة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واحتياجات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بناؤها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ونشرها </w:t>
      </w:r>
      <w:proofErr w:type="spellStart"/>
      <w:r w:rsidRPr="00C63468">
        <w:rPr>
          <w:rFonts w:ascii="Traditional Arabic" w:hAnsi="Traditional Arabic" w:cs="Traditional Arabic" w:hint="cs"/>
          <w:sz w:val="32"/>
          <w:szCs w:val="32"/>
          <w:rtl/>
        </w:rPr>
        <w:t>اجتماعيا،</w:t>
      </w:r>
      <w:proofErr w:type="spellEnd"/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ترتبط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C63468">
        <w:rPr>
          <w:rFonts w:ascii="Traditional Arabic" w:hAnsi="Traditional Arabic" w:cs="Traditional Arabic" w:hint="cs"/>
          <w:sz w:val="32"/>
          <w:szCs w:val="32"/>
          <w:rtl/>
        </w:rPr>
        <w:t>بمورفولوجيا</w:t>
      </w:r>
      <w:proofErr w:type="spellEnd"/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حضرية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ظهورها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وإدامتها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جزءا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تكوين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المواقف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والعلاقات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63468">
        <w:rPr>
          <w:rFonts w:ascii="Traditional Arabic" w:hAnsi="Traditional Arabic" w:cs="Traditional Arabic" w:hint="cs"/>
          <w:sz w:val="32"/>
          <w:szCs w:val="32"/>
          <w:rtl/>
        </w:rPr>
        <w:t>الطبقية</w:t>
      </w:r>
      <w:r w:rsidRPr="00C63468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E402D" w:rsidRPr="00BD273D" w:rsidRDefault="00EE402D" w:rsidP="007C040C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2E30A6" w:rsidRDefault="002E30A6"/>
    <w:sectPr w:rsidR="002E30A6" w:rsidSect="00D330D6">
      <w:headerReference w:type="default" r:id="rId6"/>
      <w:footerReference w:type="default" r:id="rId7"/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F7" w:rsidRDefault="007F1FF7" w:rsidP="00EE402D">
      <w:pPr>
        <w:spacing w:after="0" w:line="240" w:lineRule="auto"/>
      </w:pPr>
      <w:r>
        <w:separator/>
      </w:r>
    </w:p>
  </w:endnote>
  <w:endnote w:type="continuationSeparator" w:id="0">
    <w:p w:rsidR="007F1FF7" w:rsidRDefault="007F1FF7" w:rsidP="00EE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3041"/>
      <w:docPartObj>
        <w:docPartGallery w:val="Page Numbers (Bottom of Page)"/>
        <w:docPartUnique/>
      </w:docPartObj>
    </w:sdtPr>
    <w:sdtContent>
      <w:p w:rsidR="009633A7" w:rsidRDefault="00F33189">
        <w:pPr>
          <w:pStyle w:val="Pieddepage"/>
          <w:jc w:val="center"/>
        </w:pPr>
        <w:r>
          <w:fldChar w:fldCharType="begin"/>
        </w:r>
        <w:r w:rsidR="0067154B">
          <w:instrText xml:space="preserve"> PAGE   \* MERGEFORMAT </w:instrText>
        </w:r>
        <w:r>
          <w:fldChar w:fldCharType="separate"/>
        </w:r>
        <w:r w:rsidR="009223EF">
          <w:rPr>
            <w:noProof/>
          </w:rPr>
          <w:t>2</w:t>
        </w:r>
        <w:r>
          <w:fldChar w:fldCharType="end"/>
        </w:r>
      </w:p>
    </w:sdtContent>
  </w:sdt>
  <w:p w:rsidR="009633A7" w:rsidRDefault="007F1FF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F7" w:rsidRDefault="007F1FF7" w:rsidP="00EE402D">
      <w:pPr>
        <w:spacing w:after="0" w:line="240" w:lineRule="auto"/>
      </w:pPr>
      <w:r>
        <w:separator/>
      </w:r>
    </w:p>
  </w:footnote>
  <w:footnote w:type="continuationSeparator" w:id="0">
    <w:p w:rsidR="007F1FF7" w:rsidRDefault="007F1FF7" w:rsidP="00EE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52" w:rsidRPr="003C0D52" w:rsidRDefault="0067154B" w:rsidP="003C0D52">
    <w:pPr>
      <w:pStyle w:val="En-tte"/>
      <w:bidi/>
    </w:pPr>
    <w:r w:rsidRPr="003C0D52">
      <w:rPr>
        <w:rFonts w:ascii="Traditional Arabic" w:hAnsi="Traditional Arabic" w:cs="Traditional Arabic" w:hint="cs"/>
        <w:sz w:val="32"/>
        <w:szCs w:val="32"/>
        <w:rtl/>
        <w:lang w:val="en-US" w:bidi="ar-DZ"/>
      </w:rPr>
      <w:t xml:space="preserve">محاضرات في </w:t>
    </w:r>
    <w:r w:rsidR="00EE402D">
      <w:rPr>
        <w:rFonts w:ascii="Traditional Arabic" w:hAnsi="Traditional Arabic" w:cs="Traditional Arabic" w:hint="cs"/>
        <w:sz w:val="32"/>
        <w:szCs w:val="32"/>
        <w:rtl/>
        <w:lang w:val="en-US" w:bidi="ar-DZ"/>
      </w:rPr>
      <w:t xml:space="preserve">مقياس تحليل </w:t>
    </w:r>
    <w:r>
      <w:rPr>
        <w:rFonts w:ascii="Traditional Arabic" w:hAnsi="Traditional Arabic" w:cs="Traditional Arabic" w:hint="cs"/>
        <w:sz w:val="32"/>
        <w:szCs w:val="32"/>
        <w:rtl/>
        <w:lang w:val="en-US" w:bidi="ar-DZ"/>
      </w:rPr>
      <w:t xml:space="preserve">نقدي </w:t>
    </w:r>
    <w:r>
      <w:rPr>
        <w:rFonts w:ascii="Traditional Arabic" w:hAnsi="Traditional Arabic" w:cs="Traditional Arabic" w:hint="cs"/>
        <w:sz w:val="32"/>
        <w:szCs w:val="32"/>
        <w:rtl/>
        <w:lang w:bidi="ar-DZ"/>
      </w:rPr>
      <w:t>ل</w:t>
    </w:r>
    <w:r w:rsidRPr="003C0D52">
      <w:rPr>
        <w:rFonts w:ascii="Traditional Arabic" w:hAnsi="Traditional Arabic" w:cs="Traditional Arabic"/>
        <w:sz w:val="32"/>
        <w:szCs w:val="32"/>
        <w:rtl/>
        <w:lang w:bidi="ar-DZ"/>
      </w:rPr>
      <w:t xml:space="preserve">لنظريات </w:t>
    </w:r>
    <w:r>
      <w:rPr>
        <w:rFonts w:ascii="Traditional Arabic" w:hAnsi="Traditional Arabic" w:cs="Traditional Arabic" w:hint="cs"/>
        <w:sz w:val="32"/>
        <w:szCs w:val="32"/>
        <w:rtl/>
        <w:lang w:bidi="ar-DZ"/>
      </w:rPr>
      <w:t>الأساسية</w:t>
    </w:r>
    <w:r w:rsidRPr="003C0D52">
      <w:rPr>
        <w:rFonts w:ascii="Traditional Arabic" w:hAnsi="Traditional Arabic" w:cs="Traditional Arabic"/>
        <w:sz w:val="32"/>
        <w:szCs w:val="32"/>
        <w:rtl/>
        <w:lang w:bidi="ar-DZ"/>
      </w:rPr>
      <w:t xml:space="preserve"> في علم الاجتماع الحضري</w:t>
    </w:r>
    <w:r>
      <w:rPr>
        <w:rFonts w:ascii="Traditional Arabic" w:hAnsi="Traditional Arabic" w:cs="Traditional Arabic" w:hint="cs"/>
        <w:sz w:val="32"/>
        <w:szCs w:val="32"/>
        <w:rtl/>
        <w:lang w:bidi="ar-DZ"/>
      </w:rPr>
      <w:t xml:space="preserve"> ــ</w:t>
    </w:r>
    <w:r w:rsidRPr="003C0D52">
      <w:rPr>
        <w:rFonts w:ascii="Traditional Arabic" w:hAnsi="Traditional Arabic" w:cs="Traditional Arabic" w:hint="cs"/>
        <w:sz w:val="32"/>
        <w:szCs w:val="32"/>
        <w:rtl/>
        <w:lang w:bidi="ar-DZ"/>
      </w:rPr>
      <w:t>ـــــــــــــ</w:t>
    </w:r>
    <w:r w:rsidRPr="003C0D52">
      <w:rPr>
        <w:rFonts w:ascii="Traditional Arabic" w:hAnsi="Traditional Arabic" w:cs="Traditional Arabic" w:hint="cs"/>
        <w:sz w:val="32"/>
        <w:szCs w:val="32"/>
        <w:rtl/>
        <w:lang w:val="en-US" w:bidi="ar-DZ"/>
      </w:rPr>
      <w:t xml:space="preserve"> </w:t>
    </w:r>
    <w:proofErr w:type="spellStart"/>
    <w:r w:rsidRPr="003C0D52">
      <w:rPr>
        <w:rFonts w:ascii="Traditional Arabic" w:hAnsi="Traditional Arabic" w:cs="Traditional Arabic" w:hint="cs"/>
        <w:sz w:val="32"/>
        <w:szCs w:val="32"/>
        <w:rtl/>
        <w:lang w:val="en-US" w:bidi="ar-DZ"/>
      </w:rPr>
      <w:t>د/</w:t>
    </w:r>
    <w:proofErr w:type="spellEnd"/>
    <w:r w:rsidRPr="003C0D52">
      <w:rPr>
        <w:rFonts w:ascii="Traditional Arabic" w:hAnsi="Traditional Arabic" w:cs="Traditional Arabic" w:hint="cs"/>
        <w:sz w:val="32"/>
        <w:szCs w:val="32"/>
        <w:rtl/>
        <w:lang w:val="en-US" w:bidi="ar-DZ"/>
      </w:rPr>
      <w:t xml:space="preserve"> رشيدي </w:t>
    </w:r>
    <w:r w:rsidRPr="003C0D52">
      <w:rPr>
        <w:rFonts w:ascii="Traditional Arabic" w:hAnsi="Traditional Arabic" w:cs="Traditional Arabic" w:hint="cs"/>
        <w:sz w:val="32"/>
        <w:szCs w:val="32"/>
        <w:rtl/>
        <w:lang w:bidi="ar-DZ"/>
      </w:rPr>
      <w:t>ـــ</w:t>
    </w:r>
    <w:r>
      <w:rPr>
        <w:rFonts w:ascii="Traditional Arabic" w:hAnsi="Traditional Arabic" w:cs="Traditional Arabic" w:hint="cs"/>
        <w:sz w:val="32"/>
        <w:szCs w:val="32"/>
        <w:rtl/>
        <w:lang w:val="en-US" w:bidi="ar-DZ"/>
      </w:rPr>
      <w:t>ــــــ</w:t>
    </w:r>
    <w:r w:rsidRPr="003C0D52">
      <w:rPr>
        <w:rFonts w:ascii="Traditional Arabic" w:hAnsi="Traditional Arabic" w:cs="Traditional Arabic" w:hint="cs"/>
        <w:sz w:val="32"/>
        <w:szCs w:val="32"/>
        <w:rtl/>
        <w:lang w:val="en-US" w:bidi="ar-DZ"/>
      </w:rPr>
      <w:t>ــــــ</w:t>
    </w:r>
    <w:r w:rsidRPr="003C0D52">
      <w:rPr>
        <w:rFonts w:ascii="Traditional Arabic" w:hAnsi="Traditional Arabic" w:cs="Traditional Arabic" w:hint="cs"/>
        <w:sz w:val="32"/>
        <w:szCs w:val="32"/>
        <w:rtl/>
        <w:lang w:bidi="ar-DZ"/>
      </w:rPr>
      <w:t xml:space="preserve">ــ  السنة الأولى </w:t>
    </w:r>
    <w:proofErr w:type="spellStart"/>
    <w:r w:rsidRPr="003C0D52">
      <w:rPr>
        <w:rFonts w:ascii="Traditional Arabic" w:hAnsi="Traditional Arabic" w:cs="Traditional Arabic" w:hint="cs"/>
        <w:sz w:val="32"/>
        <w:szCs w:val="32"/>
        <w:rtl/>
        <w:lang w:bidi="ar-DZ"/>
      </w:rPr>
      <w:t>ماستر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02D"/>
    <w:rsid w:val="0003070B"/>
    <w:rsid w:val="000B7A7E"/>
    <w:rsid w:val="0016751D"/>
    <w:rsid w:val="001A6D35"/>
    <w:rsid w:val="002E30A6"/>
    <w:rsid w:val="00391EF0"/>
    <w:rsid w:val="004F063C"/>
    <w:rsid w:val="0050090B"/>
    <w:rsid w:val="00501CCC"/>
    <w:rsid w:val="00534378"/>
    <w:rsid w:val="00535FDF"/>
    <w:rsid w:val="00645429"/>
    <w:rsid w:val="0067154B"/>
    <w:rsid w:val="007C040C"/>
    <w:rsid w:val="007F1FF7"/>
    <w:rsid w:val="008B228F"/>
    <w:rsid w:val="009223EF"/>
    <w:rsid w:val="0096075E"/>
    <w:rsid w:val="009721FD"/>
    <w:rsid w:val="00C54EF1"/>
    <w:rsid w:val="00D43FAE"/>
    <w:rsid w:val="00D50314"/>
    <w:rsid w:val="00DD0E56"/>
    <w:rsid w:val="00E030A5"/>
    <w:rsid w:val="00E3028B"/>
    <w:rsid w:val="00EE402D"/>
    <w:rsid w:val="00F33189"/>
    <w:rsid w:val="00FD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02D"/>
    <w:rPr>
      <w:lang w:val="fr-FR"/>
    </w:rPr>
  </w:style>
  <w:style w:type="paragraph" w:styleId="Titre1">
    <w:name w:val="heading 1"/>
    <w:basedOn w:val="Normal"/>
    <w:link w:val="Titre1Car"/>
    <w:uiPriority w:val="9"/>
    <w:qFormat/>
    <w:rsid w:val="00EE4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E40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402D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EE402D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Sansinterligne">
    <w:name w:val="No Spacing"/>
    <w:uiPriority w:val="1"/>
    <w:qFormat/>
    <w:rsid w:val="00EE402D"/>
    <w:pPr>
      <w:spacing w:after="0" w:line="240" w:lineRule="auto"/>
    </w:pPr>
    <w:rPr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EE402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E40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luelink">
    <w:name w:val="bluelink"/>
    <w:basedOn w:val="Policepardfaut"/>
    <w:rsid w:val="00EE402D"/>
  </w:style>
  <w:style w:type="character" w:styleId="Accentuation">
    <w:name w:val="Emphasis"/>
    <w:basedOn w:val="Policepardfaut"/>
    <w:uiPriority w:val="20"/>
    <w:qFormat/>
    <w:rsid w:val="00EE402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02D"/>
    <w:rPr>
      <w:rFonts w:ascii="Tahoma" w:hAnsi="Tahoma" w:cs="Tahoma"/>
      <w:sz w:val="16"/>
      <w:szCs w:val="16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40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402D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EE402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EE4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E402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E4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402D"/>
    <w:rPr>
      <w:lang w:val="fr-FR"/>
    </w:rPr>
  </w:style>
  <w:style w:type="character" w:customStyle="1" w:styleId="familyname">
    <w:name w:val="familyname"/>
    <w:basedOn w:val="Policepardfaut"/>
    <w:rsid w:val="00EE4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said</cp:lastModifiedBy>
  <cp:revision>21</cp:revision>
  <dcterms:created xsi:type="dcterms:W3CDTF">2020-03-11T06:43:00Z</dcterms:created>
  <dcterms:modified xsi:type="dcterms:W3CDTF">2020-04-08T18:26:00Z</dcterms:modified>
</cp:coreProperties>
</file>