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BE" w:rsidRDefault="009214BE" w:rsidP="009214BE">
      <w:pPr>
        <w:bidi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eastAsia="fr-FR"/>
        </w:rPr>
      </w:pPr>
    </w:p>
    <w:p w:rsidR="001E371A" w:rsidRDefault="001E371A" w:rsidP="009214BE">
      <w:pPr>
        <w:bidi/>
        <w:jc w:val="both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proofErr w:type="gramStart"/>
      <w:r w:rsidRPr="001E371A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eastAsia="fr-FR"/>
        </w:rPr>
        <w:t>الملخص</w:t>
      </w:r>
      <w:proofErr w:type="gram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:</w:t>
      </w:r>
    </w:p>
    <w:p w:rsidR="001E371A" w:rsidRDefault="001E371A" w:rsidP="001E371A">
      <w:pPr>
        <w:bidi/>
        <w:jc w:val="both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المدارس العليا للأساتذة هي مؤسسات جامعية تقع تحت وصاية وزارة التعليم العالي والبحث العلمي وتضطلع بمهمة تكوين المكونين لصالح قطاع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التربية،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بناء على عقد مبرم بينهما. وهي تماثل ما يسمى بكليات التربية في بعض البلدان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الأخرى،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نسبة إلى القطاع الذي تكوّن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لصالحه،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مثلما هو في كليات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الطب،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الزراعة،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البترول،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الإعلام وغيرها من الكليات التى يتطابق محتوى التكوين فيها مع ميدان معين من ميادين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الشغل،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وعليه تتطابق تسمياتها مع تلك الميادين</w:t>
      </w:r>
      <w:r w:rsidRPr="00940A13">
        <w:rPr>
          <w:rFonts w:ascii="Simplified Arabic" w:eastAsia="Times New Roman" w:hAnsi="Simplified Arabic" w:cs="Simplified Arabic"/>
          <w:sz w:val="36"/>
          <w:szCs w:val="36"/>
          <w:lang w:eastAsia="fr-FR"/>
        </w:rPr>
        <w:t>.</w:t>
      </w:r>
    </w:p>
    <w:p w:rsidR="001E371A" w:rsidRPr="009214BE" w:rsidRDefault="001E371A" w:rsidP="001E371A">
      <w:pPr>
        <w:pStyle w:val="Paragraphedeliste"/>
        <w:numPr>
          <w:ilvl w:val="0"/>
          <w:numId w:val="1"/>
        </w:numPr>
        <w:bidi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lang w:eastAsia="fr-FR"/>
        </w:rPr>
      </w:pPr>
      <w:proofErr w:type="gramStart"/>
      <w:r w:rsidRPr="009214BE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سامعي</w:t>
      </w:r>
      <w:proofErr w:type="gramEnd"/>
      <w:r w:rsidRPr="009214BE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توفيق</w:t>
      </w:r>
    </w:p>
    <w:p w:rsidR="001E371A" w:rsidRDefault="001E371A" w:rsidP="001E371A">
      <w:pPr>
        <w:bidi/>
        <w:ind w:left="360"/>
        <w:jc w:val="both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البريد</w:t>
      </w:r>
      <w:proofErr w:type="gram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: </w:t>
      </w:r>
      <w:hyperlink r:id="rId5" w:history="1">
        <w:r w:rsidRPr="00FC0CB8">
          <w:rPr>
            <w:rStyle w:val="Lienhypertexte"/>
            <w:rFonts w:ascii="Simplified Arabic" w:eastAsia="Times New Roman" w:hAnsi="Simplified Arabic" w:cs="Simplified Arabic"/>
            <w:sz w:val="36"/>
            <w:szCs w:val="36"/>
            <w:lang w:eastAsia="fr-FR"/>
          </w:rPr>
          <w:t>toufsamai@yahoo.fr</w:t>
        </w:r>
      </w:hyperlink>
      <w:r>
        <w:rPr>
          <w:rFonts w:ascii="Simplified Arabic" w:eastAsia="Times New Roman" w:hAnsi="Simplified Arabic" w:cs="Simplified Arabic"/>
          <w:sz w:val="36"/>
          <w:szCs w:val="36"/>
          <w:lang w:eastAsia="fr-FR"/>
        </w:rPr>
        <w:t xml:space="preserve">   </w:t>
      </w:r>
    </w:p>
    <w:p w:rsidR="009214BE" w:rsidRPr="009214BE" w:rsidRDefault="009214BE" w:rsidP="009214BE">
      <w:pPr>
        <w:pStyle w:val="NormalWeb"/>
        <w:shd w:val="clear" w:color="auto" w:fill="FFFFFF"/>
        <w:bidi/>
        <w:spacing w:before="0" w:beforeAutospacing="0" w:after="200" w:afterAutospacing="0"/>
        <w:rPr>
          <w:rFonts w:ascii="Simplified Arabic" w:hAnsi="Simplified Arabic" w:cs="Simplified Arabic"/>
          <w:color w:val="26282A"/>
          <w:sz w:val="32"/>
          <w:szCs w:val="32"/>
        </w:rPr>
      </w:pPr>
      <w:r w:rsidRPr="009214BE"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 xml:space="preserve">الفئة </w:t>
      </w:r>
      <w:proofErr w:type="spellStart"/>
      <w:r w:rsidRPr="009214BE"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>المستهدفة (</w:t>
      </w:r>
      <w:proofErr w:type="spellEnd"/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 xml:space="preserve">السنة الأولى </w:t>
      </w:r>
      <w:proofErr w:type="spellStart"/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>ماستر</w:t>
      </w:r>
      <w:proofErr w:type="spellEnd"/>
      <w:r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>،</w:t>
      </w:r>
      <w:proofErr w:type="spellEnd"/>
      <w:r w:rsidRPr="009214BE"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 xml:space="preserve"> الكلية</w:t>
      </w:r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 xml:space="preserve"> العلوم الانسانيّة </w:t>
      </w:r>
      <w:proofErr w:type="spellStart"/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>والاجتماعيّة،</w:t>
      </w:r>
      <w:proofErr w:type="spellEnd"/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>القسم</w:t>
      </w:r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 xml:space="preserve"> علم النفس وعلوم التربية </w:t>
      </w:r>
      <w:proofErr w:type="spellStart"/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>والأرطوفونيا،</w:t>
      </w:r>
      <w:proofErr w:type="spellEnd"/>
      <w:r>
        <w:rPr>
          <w:rFonts w:ascii="Simplified Arabic" w:hAnsi="Simplified Arabic" w:cs="Simplified Arabic" w:hint="cs"/>
          <w:b/>
          <w:bCs/>
          <w:color w:val="26282A"/>
          <w:sz w:val="32"/>
          <w:szCs w:val="32"/>
          <w:rtl/>
        </w:rPr>
        <w:t xml:space="preserve"> تخصص علم النفس التربوي</w:t>
      </w:r>
      <w:proofErr w:type="spellStart"/>
      <w:r w:rsidRPr="009214BE">
        <w:rPr>
          <w:rFonts w:ascii="Simplified Arabic" w:hAnsi="Simplified Arabic" w:cs="Simplified Arabic"/>
          <w:b/>
          <w:bCs/>
          <w:color w:val="26282A"/>
          <w:sz w:val="32"/>
          <w:szCs w:val="32"/>
          <w:rtl/>
        </w:rPr>
        <w:t>)</w:t>
      </w:r>
      <w:proofErr w:type="spellEnd"/>
    </w:p>
    <w:p w:rsidR="009214BE" w:rsidRPr="009214BE" w:rsidRDefault="009214BE" w:rsidP="009214BE">
      <w:pPr>
        <w:bidi/>
        <w:ind w:left="360"/>
        <w:jc w:val="both"/>
        <w:rPr>
          <w:rFonts w:ascii="Simplified Arabic" w:eastAsia="Times New Roman" w:hAnsi="Simplified Arabic" w:cs="Simplified Arabic"/>
          <w:sz w:val="36"/>
          <w:szCs w:val="36"/>
          <w:rtl/>
          <w:lang w:eastAsia="fr-FR" w:bidi="ar-DZ"/>
        </w:rPr>
      </w:pPr>
    </w:p>
    <w:p w:rsidR="00A37F28" w:rsidRDefault="00A37F28" w:rsidP="00A37F28">
      <w:pPr>
        <w:bidi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:rsidR="009214BE" w:rsidRDefault="009214BE" w:rsidP="00A37F28">
      <w:pPr>
        <w:bidi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:rsidR="009214BE" w:rsidRDefault="009214BE" w:rsidP="009214BE">
      <w:pPr>
        <w:bidi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:rsidR="00A37F28" w:rsidRDefault="00A37F28" w:rsidP="009214BE">
      <w:pPr>
        <w:bidi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lastRenderedPageBreak/>
        <w:t xml:space="preserve">تابع محاضرات الوحدة التعليميّة </w:t>
      </w:r>
      <w:proofErr w:type="spellStart"/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:</w:t>
      </w:r>
      <w:proofErr w:type="spellEnd"/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 xml:space="preserve"> </w:t>
      </w:r>
      <w:proofErr w:type="spellStart"/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"</w:t>
      </w:r>
      <w:proofErr w:type="spellEnd"/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 xml:space="preserve"> تكوين المُكوّنين </w:t>
      </w:r>
      <w:proofErr w:type="spellStart"/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".</w:t>
      </w:r>
      <w:proofErr w:type="spellEnd"/>
    </w:p>
    <w:p w:rsidR="009214BE" w:rsidRPr="009214BE" w:rsidRDefault="00E36A23" w:rsidP="009214BE">
      <w:pPr>
        <w:bidi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 xml:space="preserve">المدرسة العليا </w:t>
      </w:r>
      <w:proofErr w:type="spellStart"/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للأساتذة،</w:t>
      </w:r>
      <w:proofErr w:type="spellEnd"/>
      <w:r w:rsidRPr="00940A1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 xml:space="preserve"> نموذج الجزائر.</w:t>
      </w:r>
    </w:p>
    <w:p w:rsidR="00940A13" w:rsidRPr="00940A13" w:rsidRDefault="00940A13" w:rsidP="009214BE">
      <w:pPr>
        <w:bidi/>
        <w:jc w:val="both"/>
        <w:rPr>
          <w:rFonts w:ascii="Simplified Arabic" w:eastAsia="Times New Roman" w:hAnsi="Simplified Arabic" w:cs="Simplified Arabic"/>
          <w:color w:val="00B050"/>
          <w:sz w:val="48"/>
          <w:szCs w:val="48"/>
          <w:u w:val="single"/>
          <w:lang w:eastAsia="fr-FR" w:bidi="ar-DZ"/>
        </w:rPr>
      </w:pPr>
      <w:proofErr w:type="gramStart"/>
      <w:r w:rsidRPr="00940A13">
        <w:rPr>
          <w:rFonts w:ascii="Simplified Arabic" w:eastAsia="Times New Roman" w:hAnsi="Simplified Arabic" w:cs="Simplified Arabic"/>
          <w:b/>
          <w:bCs/>
          <w:color w:val="FF0000"/>
          <w:sz w:val="48"/>
          <w:szCs w:val="48"/>
          <w:u w:val="single"/>
          <w:rtl/>
          <w:lang w:eastAsia="fr-FR" w:bidi="ar-DZ"/>
        </w:rPr>
        <w:t>مقدمة</w:t>
      </w:r>
      <w:proofErr w:type="gramEnd"/>
      <w:r w:rsidRPr="00940A13">
        <w:rPr>
          <w:rFonts w:ascii="Simplified Arabic" w:eastAsia="Times New Roman" w:hAnsi="Simplified Arabic" w:cs="Simplified Arabic"/>
          <w:color w:val="00B050"/>
          <w:sz w:val="48"/>
          <w:szCs w:val="48"/>
          <w:u w:val="single"/>
          <w:rtl/>
          <w:lang w:eastAsia="fr-FR" w:bidi="ar-DZ"/>
        </w:rPr>
        <w:t>:</w:t>
      </w:r>
    </w:p>
    <w:p w:rsidR="00940A13" w:rsidRPr="009214BE" w:rsidRDefault="00940A13" w:rsidP="009214BE">
      <w:pPr>
        <w:bidi/>
        <w:jc w:val="both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المدارس العليا للأساتذة هي مؤسسات جامعية تقع تحت وصاية وزارة التعليم العالي والبحث العلمي وتضطلع بمهمة تكوين المكونين لصالح قطاع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التربية،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بناء على عقد مبرم بينهما. وهي تماثل ما يسمى بكليات التربية في بعض البلدان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الأخرى،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نسبة إلى القطاع الذي تكوّن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لصالحه،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مثلما هو في كليات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الطب،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الزراعة،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البترول،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الإعلام وغيرها من الكليات التى يتطابق محتوى التكوين فيها مع ميدان معين من ميادين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الشغل،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وعليه تتطابق تسمياتها مع تلك الميادين</w:t>
      </w:r>
      <w:r w:rsidRPr="00940A13">
        <w:rPr>
          <w:rFonts w:ascii="Simplified Arabic" w:eastAsia="Times New Roman" w:hAnsi="Simplified Arabic" w:cs="Simplified Arabic"/>
          <w:sz w:val="36"/>
          <w:szCs w:val="36"/>
          <w:lang w:eastAsia="fr-FR"/>
        </w:rPr>
        <w:t>.</w:t>
      </w:r>
    </w:p>
    <w:p w:rsidR="00940A13" w:rsidRPr="009214BE" w:rsidRDefault="00940A13" w:rsidP="00940A13">
      <w:pPr>
        <w:bidi/>
        <w:jc w:val="both"/>
        <w:rPr>
          <w:rFonts w:ascii="Simplified Arabic" w:eastAsia="Times New Roman" w:hAnsi="Simplified Arabic" w:cs="Simplified Arabic"/>
          <w:b/>
          <w:bCs/>
          <w:color w:val="C00000"/>
          <w:sz w:val="36"/>
          <w:szCs w:val="36"/>
          <w:rtl/>
          <w:lang w:eastAsia="fr-FR"/>
        </w:rPr>
      </w:pPr>
      <w:r w:rsidRPr="009214BE">
        <w:rPr>
          <w:rFonts w:ascii="Simplified Arabic" w:eastAsia="Times New Roman" w:hAnsi="Simplified Arabic" w:cs="Simplified Arabic"/>
          <w:b/>
          <w:bCs/>
          <w:color w:val="C00000"/>
          <w:sz w:val="36"/>
          <w:szCs w:val="36"/>
          <w:rtl/>
          <w:lang w:eastAsia="fr-FR"/>
        </w:rPr>
        <w:t>تعريف المدرسة العليا:</w:t>
      </w:r>
    </w:p>
    <w:p w:rsidR="00940A13" w:rsidRPr="00940A13" w:rsidRDefault="00940A13" w:rsidP="00940A13">
      <w:pPr>
        <w:bidi/>
        <w:jc w:val="both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المدارس العليا للأساتذة هي مؤسسات جامعية تتمتع بالشخصية المعنوية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والإستقلال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المالي وتتوفر على مجلس إداري ومجلس علمي ومجلس مديرية ويسيرها مدير يعّين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بمرسوم،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أي يسري عليها ما يسري على بقية مؤسسات التعليم العالي.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وكانت أولى هذه المدارس في الجزائر هي المدرسة العليا للأساتذة بالقبة التي تأسست سنة 1964 بموجب المرسوم رقم 13464 الصادر بتاريخ 24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أفريل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1964 وأسندت لها مهمة تكوين أساتذة التعليم الثانوي. و بموجب القرار الوزاري المشترك رقم 24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جويلية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1999 أضيف لها مهمة تكوين أساتذة التعليم المتوسط 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lastRenderedPageBreak/>
        <w:t xml:space="preserve">و بذلك أصبحت مكلفة بمهمة تكوين المكونين في الطورين الثانوي و المتوسط في التخصصات العلمية بالإضافة إلى الموسيقى. </w:t>
      </w:r>
      <w:proofErr w:type="gram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وبالإضافة</w:t>
      </w:r>
      <w:proofErr w:type="gram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إلى ذلك فإن المدرسة تتوفر على فروع الماجستير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والدكتوراه،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كما أنها تتوفر على العديد من مخابر البحث العلمي سواء التطبيقي منه أو الأساسي.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و يوجد حاليا 05 مدارس عليا للأساتذة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وهي: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مدرسة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القبة،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بوزريعة،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قسنطينة،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سكيكدة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وأخيرا مدرسة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الأغواط،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تظطلع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في مجملها بتكوين المكونين في الملامح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الثلاثة،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)ملمح أستاذ التعليم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الثانوي،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ملمح أستاذ التعليم المتوسط وملمح معلم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إبتدائي(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لصالح وزارة التربية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).</w:t>
      </w:r>
      <w:proofErr w:type="spellEnd"/>
    </w:p>
    <w:p w:rsidR="00940A13" w:rsidRPr="009214BE" w:rsidRDefault="00940A13" w:rsidP="00940A13">
      <w:pPr>
        <w:bidi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r w:rsidRPr="009214BE">
        <w:rPr>
          <w:rFonts w:ascii="Simplified Arabic" w:eastAsia="Times New Roman" w:hAnsi="Simplified Arabic" w:cs="Simplified Arabic"/>
          <w:b/>
          <w:bCs/>
          <w:color w:val="C00000"/>
          <w:sz w:val="36"/>
          <w:szCs w:val="36"/>
          <w:rtl/>
          <w:lang w:eastAsia="fr-FR"/>
        </w:rPr>
        <w:t>شروط الالتحاق بالمدرسة العليا</w:t>
      </w:r>
      <w:r w:rsidRPr="009214BE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:</w:t>
      </w:r>
    </w:p>
    <w:p w:rsidR="00940A13" w:rsidRPr="00940A13" w:rsidRDefault="00940A13" w:rsidP="00940A13">
      <w:pPr>
        <w:shd w:val="clear" w:color="auto" w:fill="FFFFFF"/>
        <w:bidi/>
        <w:spacing w:after="0" w:line="330" w:lineRule="atLeast"/>
        <w:jc w:val="both"/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</w:pP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ـ تجرى مقابلة شفوية قبل قبول الطلاب في المدارس العليا للأساتذة الهدف منها معرفة مدى استعداد الطالب و قدرته على التدريس مستقبلا </w:t>
      </w:r>
      <w:proofErr w:type="spell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(</w:t>
      </w:r>
      <w:proofErr w:type="spell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النطق الجيد الرؤية الجيدة ـ حسن الاستماع ـ الصحة </w:t>
      </w:r>
      <w:proofErr w:type="spell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البطنية</w:t>
      </w:r>
      <w:proofErr w:type="spell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و العقلية القدرة على التحكم في التلاميذ </w:t>
      </w:r>
      <w:proofErr w:type="spell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…..</w:t>
      </w:r>
      <w:proofErr w:type="spell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)</w:t>
      </w:r>
      <w:proofErr w:type="spell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</w:t>
      </w:r>
    </w:p>
    <w:p w:rsidR="00940A13" w:rsidRPr="00940A13" w:rsidRDefault="00940A13" w:rsidP="00940A13">
      <w:pPr>
        <w:shd w:val="clear" w:color="auto" w:fill="FFFFFF"/>
        <w:bidi/>
        <w:spacing w:after="0" w:line="330" w:lineRule="atLeast"/>
        <w:jc w:val="both"/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</w:pP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و </w:t>
      </w:r>
      <w:proofErr w:type="gram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يعاد</w:t>
      </w:r>
      <w:proofErr w:type="gram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توجيه الطلاب الذين لم ينجحوا في المقابلة إلى تخصص آخر حسب معدله و رغبته و المقاعد المتوفرة.</w:t>
      </w:r>
      <w:r w:rsidRPr="00940A13">
        <w:rPr>
          <w:rFonts w:ascii="Simplified Arabic" w:eastAsia="Times New Roman" w:hAnsi="Simplified Arabic" w:cs="Simplified Arabic"/>
          <w:color w:val="333333"/>
          <w:sz w:val="27"/>
          <w:szCs w:val="27"/>
        </w:rPr>
        <w:br/>
      </w: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ـ مدة الدراسة هي 3 سنوات بالنسبة لأساتذة التعليم </w:t>
      </w:r>
      <w:proofErr w:type="gram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الابتدائي ,</w:t>
      </w:r>
      <w:proofErr w:type="gram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4 سنوات لأساتذة التعليم المتوسط و 5 سنوات لأساتذة التعليم الثانوي.</w:t>
      </w:r>
      <w:r w:rsidRPr="00940A13">
        <w:rPr>
          <w:rFonts w:ascii="Simplified Arabic" w:eastAsia="Times New Roman" w:hAnsi="Simplified Arabic" w:cs="Simplified Arabic"/>
          <w:color w:val="333333"/>
          <w:sz w:val="27"/>
          <w:szCs w:val="27"/>
        </w:rPr>
        <w:br/>
      </w: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ـ يتم توقيع عقد بين مع وزارة التربية على ضمان العمل في إطار وزارة التربية مدة 7 سنوات </w:t>
      </w:r>
      <w:proofErr w:type="gram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للابتدائي ,</w:t>
      </w:r>
      <w:proofErr w:type="gram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9 سنوات للمتوسط و 11 سنة للثانوي.</w:t>
      </w:r>
    </w:p>
    <w:p w:rsidR="00940A13" w:rsidRPr="00940A13" w:rsidRDefault="00940A13" w:rsidP="00940A13">
      <w:pPr>
        <w:shd w:val="clear" w:color="auto" w:fill="FFFFFF"/>
        <w:bidi/>
        <w:spacing w:after="0" w:line="330" w:lineRule="atLeast"/>
        <w:jc w:val="both"/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</w:rPr>
      </w:pP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ـ(يمكن للمتخرج فيما بعد إكمال التعليم أو  التوجه إلى عمل آخر حسب رغبته </w:t>
      </w:r>
      <w:proofErr w:type="spell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)</w:t>
      </w:r>
      <w:proofErr w:type="spell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</w:rPr>
        <w:br/>
      </w: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ـ للمتخرج من المدرسة العليا للأساتذة الحق في إكمال الدراسات العليا في الجامعة </w:t>
      </w: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lastRenderedPageBreak/>
        <w:t>و ذلك من أجل التدريس في الجامعات أو المدارس العليا.</w:t>
      </w: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</w:rPr>
        <w:br/>
      </w:r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ـ </w:t>
      </w:r>
      <w:proofErr w:type="gramStart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>يمكن</w:t>
      </w:r>
      <w:proofErr w:type="gramEnd"/>
      <w:r w:rsidRPr="00940A13">
        <w:rPr>
          <w:rFonts w:ascii="Simplified Arabic" w:eastAsia="Times New Roman" w:hAnsi="Simplified Arabic" w:cs="Simplified Arabic"/>
          <w:color w:val="333333"/>
          <w:sz w:val="36"/>
          <w:szCs w:val="36"/>
          <w:bdr w:val="none" w:sz="0" w:space="0" w:color="auto" w:frame="1"/>
          <w:rtl/>
        </w:rPr>
        <w:t xml:space="preserve"> للطالب إعادة السنة مرتين فقط و بشرط أن لا تكون في نفس المستوى.</w:t>
      </w:r>
    </w:p>
    <w:p w:rsidR="00940A13" w:rsidRPr="00940A13" w:rsidRDefault="00940A13" w:rsidP="009214BE">
      <w:pPr>
        <w:bidi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</w:p>
    <w:p w:rsidR="00940A13" w:rsidRPr="00940A13" w:rsidRDefault="00940A13" w:rsidP="009214BE">
      <w:pPr>
        <w:bidi/>
        <w:rPr>
          <w:rFonts w:ascii="Simplified Arabic" w:eastAsia="Times New Roman" w:hAnsi="Simplified Arabic" w:cs="Simplified Arabic"/>
          <w:sz w:val="36"/>
          <w:szCs w:val="36"/>
          <w:rtl/>
          <w:lang w:eastAsia="fr-FR" w:bidi="ar-DZ"/>
        </w:rPr>
      </w:pPr>
      <w:r w:rsidRPr="009214BE">
        <w:rPr>
          <w:rFonts w:ascii="Simplified Arabic" w:eastAsia="Times New Roman" w:hAnsi="Simplified Arabic" w:cs="Simplified Arabic"/>
          <w:b/>
          <w:bCs/>
          <w:color w:val="C00000"/>
          <w:sz w:val="36"/>
          <w:szCs w:val="36"/>
          <w:rtl/>
          <w:lang w:eastAsia="fr-FR"/>
        </w:rPr>
        <w:t xml:space="preserve">خصوصية التكوين بالمدارس العليا </w:t>
      </w:r>
      <w:proofErr w:type="spellStart"/>
      <w:r w:rsidRPr="009214BE">
        <w:rPr>
          <w:rFonts w:ascii="Simplified Arabic" w:eastAsia="Times New Roman" w:hAnsi="Simplified Arabic" w:cs="Simplified Arabic"/>
          <w:b/>
          <w:bCs/>
          <w:color w:val="C00000"/>
          <w:sz w:val="36"/>
          <w:szCs w:val="36"/>
          <w:rtl/>
          <w:lang w:eastAsia="fr-FR"/>
        </w:rPr>
        <w:t>للأساتذة</w:t>
      </w:r>
      <w:r w:rsidR="009214BE" w:rsidRPr="009214BE">
        <w:rPr>
          <w:rFonts w:ascii="Simplified Arabic" w:eastAsia="Times New Roman" w:hAnsi="Simplified Arabic" w:cs="Simplified Arabic" w:hint="cs"/>
          <w:b/>
          <w:bCs/>
          <w:color w:val="C00000"/>
          <w:sz w:val="36"/>
          <w:szCs w:val="36"/>
          <w:rtl/>
          <w:lang w:eastAsia="fr-FR"/>
        </w:rPr>
        <w:t>: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يتميز التكوين في هذه المدارس بأنه تكوين علمي و تربوي و ميداني في نفس الوقت , يتلاءم مع رسالة المتخرج. و يوضع محتوى هذا التكوين من طرف قطاع التعليم العالي و البحث العلمي بالتنسيق مع قطاع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التربية،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فمثلا في تكوين أساتذة الرياضيات أو الفيزياء أو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البيولوجيا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أو الأدب العربي يوضع المحتوى المطلوب في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هاته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التخصصات،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انطلاقا مما هو مدرّس في بقية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الجامعات،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لضمان البعد الجامعي في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التكوين،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وفي ذات الوقت يراعى مضمون التكوين في المرحلة المستهدفة من التعليم في قطاع التربية. </w:t>
      </w:r>
      <w:proofErr w:type="gram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وفي</w:t>
      </w:r>
      <w:proofErr w:type="gram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التكوين التربوي يتلقى الطالب بعض المواد ذات الصلة بالتعليم والتعلم مثل علم النفس التربوي و التشريع المدرسي و التعليمية العامة والخاصة.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وبالنسبة للتعليمية </w:t>
      </w:r>
      <w:r w:rsidRPr="00940A13">
        <w:rPr>
          <w:rFonts w:ascii="Simplified Arabic" w:eastAsia="Times New Roman" w:hAnsi="Simplified Arabic" w:cs="Simplified Arabic"/>
          <w:sz w:val="36"/>
          <w:szCs w:val="36"/>
          <w:lang w:eastAsia="fr-FR"/>
        </w:rPr>
        <w:t>Didactique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فهي تهتم بالتعليم و التعلم وتعني بصورة عامة ذلك النسيج من المعرفة الذي يجمع بين علم و فن التعليم والذي يمثِّل منطقة التقاطع بين التعليم والتربية ويهتم بتطوير التعليم و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تحسينه،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وهي من جهة أخرى تمثل النشاط الحاصل أو العلاقات الناشئة بين المعلم والمتعلم والمادة العلمية فيما يسمى بالمثلث التعليمي </w:t>
      </w:r>
      <w:r w:rsidRPr="00940A13">
        <w:rPr>
          <w:rFonts w:ascii="Simplified Arabic" w:eastAsia="Times New Roman" w:hAnsi="Simplified Arabic" w:cs="Simplified Arabic"/>
          <w:sz w:val="36"/>
          <w:szCs w:val="36"/>
          <w:lang w:eastAsia="fr-FR"/>
        </w:rPr>
        <w:t>Triangle didactique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حيث يقوم المعلم بدور الموجه كما يقوم المتعلم بالمشاركة الفعالة في إنجاز هذا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النشاط،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وعليه تسمى هذه العملية بالعملية التعليمية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-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التعلمية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.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lastRenderedPageBreak/>
        <w:t xml:space="preserve">وتشمل التعليمية العديد من المعارف مثل المقاربات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التعليمية,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تكنولوجيا التعليم بما فيها تكنولوجيا المعلومات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والإتصال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في التربية </w:t>
      </w:r>
      <w:r w:rsidRPr="00940A13">
        <w:rPr>
          <w:rFonts w:ascii="Simplified Arabic" w:eastAsia="Times New Roman" w:hAnsi="Simplified Arabic" w:cs="Simplified Arabic"/>
          <w:sz w:val="36"/>
          <w:szCs w:val="36"/>
          <w:lang w:eastAsia="fr-FR"/>
        </w:rPr>
        <w:t>TICE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والتقويم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بأنواعه،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كما أنها تتطلب العديد من المعارف مثل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الإيبيستيمولوجيا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 w:rsidRPr="00940A13">
        <w:rPr>
          <w:rFonts w:ascii="Simplified Arabic" w:eastAsia="Times New Roman" w:hAnsi="Simplified Arabic" w:cs="Simplified Arabic"/>
          <w:sz w:val="36"/>
          <w:szCs w:val="36"/>
          <w:lang w:eastAsia="fr-FR"/>
        </w:rPr>
        <w:t>Epistémologie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أو نظرية المعرفة كما تسمى و التي تبحث في أصل المعرفة وتكوينها ومناهجها و صحتها</w:t>
      </w:r>
      <w:r w:rsidR="009214B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.</w:t>
      </w:r>
      <w:r w:rsidR="009214B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وعن الفرق بين التعليمية العامة و الخاصة والتي تسمى بتعليمية المواد فإنه يمكن القول بأن الأولى تعالج القضايا المشتركة بين جميع المواد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الدراسية،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دون تمييز مادة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بعينها,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في حين تهتم التعليمية الخاصة بالمسائل المتعلقة بمادة دراسية معينة مثل الرياضات و الفيزياء و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البيولوجيا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وتركّز على النشاط التعليمي داخل القسم بمراعاة خصوصية المادة الدراسية من حيث طبيعتها و منهجها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مثلا،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حيث تختلف تعليمية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البيولوجيا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عن تعليمية الرياضات و هذه عن تعليمية الفيزياء وهكذا فلكل تخصص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تعليميته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كما تراعى مرحلة التعليم ونوع النشاط كأن يكون نظري أو تطبيقي حيث ان لكل نوع من النشاط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تعليميته،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مما يعني ان التعليمية الخاصة تهتم بالجانب التطبيقي في التعليم .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وتعزيزا للتكوين العلمي و التربوي للطالب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الأستاذ،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فإنه يتلقى نشاطات أخرى ميدانية يقوم فيها بنفسه بالتدريب على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ممارسة,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التعليم فيما يسمى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بالتربصات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الميدانية،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وذلك بالتنسيق مع مفتشي المواد في المرحلة المعنية. وفي هذا النشاط الذي يكون في سنة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التخرج،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يتدرب الطالب على تحضير الدروس وينغمس في العملية التعليمية بالحضور والملاحظة والمشاركة ثم ينتقل إلى ممارسة العملية بنفسه فيما يسمى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بالتربصات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المغلقة. و تعتبر هذه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التربصات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وحدة من وحدات التكوين تحسب للطالب إلى جانب وحدات التكوين في مساره الجامعي كما هو 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lastRenderedPageBreak/>
        <w:t>الحال في مذكرة التخرج التي يتدرب فيها الطلبة على مناهج البحث العلمي وإنجاز المذكرات و الرسائل الجامعية.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>وبناء على هذا التكوين المتميز الذي يتلقاه الطالب الأستاذ فإن خريجي المدارس العليا الأساتذة يتمتعون بالكفاءة العلمية و المهنية المطلوبتين لأداء رسالة التعليم النبيلة.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وعلى أي حال فإن خريجي المدارس العليا للأساتذة يمثلون العمود الفقري بالنسبة لميدان التربية و التعليم على مدى يقارب نصف قرن من الزمن أي منذ السنوات الأولى للاستقلال. وما منهم إلا له مقام معلوم في هذا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الميدان،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فسواء كان مكوّنا أو مشرفا عن التكوين فهو بلبل صدّاح يغرّد بلسان عربي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مبين،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في موقع ما من فضاء جزائر الاستقلال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الرحب،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لزرع بذور المعرفة العلمية الهادفة التي لا تلبث أن تصبح أشجارا يانعة تؤتي بإذن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ربها،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ثمارا مختلفا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ألوانه،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كل حين.</w:t>
      </w:r>
      <w:r w:rsidRPr="00940A13">
        <w:rPr>
          <w:rFonts w:ascii="Simplified Arabic" w:hAnsi="Simplified Arabic" w:cs="Simplified Arabic"/>
        </w:rPr>
        <w:t xml:space="preserve"> 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  <w:t xml:space="preserve">كما ذكرنا توجد حاليا أربعة مدارس عليا للأساتذة موزعة كما يلي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: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القبة،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بوزريعة،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قسنطينة،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سكيكدة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تخرج منها في جوان 2013 ما يقارب 3000 مكونا و منذ سنتين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تدعمت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الشبكة بمدرسة عليا في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الأغواط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لم تتخرج منها لحد الآن أي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دفعة،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نظرا لحداثتها.</w:t>
      </w:r>
    </w:p>
    <w:p w:rsidR="00940A13" w:rsidRPr="00940A13" w:rsidRDefault="00940A13" w:rsidP="00940A13">
      <w:pPr>
        <w:bidi/>
        <w:jc w:val="both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والجدير بالملاحظة أنه في ثمانينيات القرن الماضي كانت بعض الولايات مثل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ورقلة،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سعيدة،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مستغانم،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جيجل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ووهران تتوفر على مدارس عليا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للأساتذة،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لم يعد لها وجود في الوقت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الحاضر،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رغم ما كانت تقدمه للولايات المذكورة والمناطق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المجاورة،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من خدمات في مجال التكوين خاصة بالنسبة لمرحلة التعليم الثانوي العام والتقني على حد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سواء،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ويبقى التساؤل مطروحا حول سر تغييبها. </w:t>
      </w:r>
      <w:proofErr w:type="gram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وقد</w:t>
      </w:r>
      <w:proofErr w:type="gram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يقول </w:t>
      </w:r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lastRenderedPageBreak/>
        <w:t xml:space="preserve">قائل أنها حولت إلى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جامعات،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وهو كلام لا يبرر هذا التغييب لأن المدارس الحالية توجد في ولايات </w:t>
      </w:r>
      <w:proofErr w:type="spellStart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بها</w:t>
      </w:r>
      <w:proofErr w:type="spellEnd"/>
      <w:r w:rsidRPr="00940A13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جامعات وهو أمر عادي.</w:t>
      </w:r>
    </w:p>
    <w:p w:rsidR="00940A13" w:rsidRPr="00940A13" w:rsidRDefault="00940A13" w:rsidP="00940A13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C00000"/>
          <w:sz w:val="24"/>
          <w:szCs w:val="24"/>
          <w:lang w:eastAsia="fr-FR"/>
        </w:rPr>
      </w:pPr>
      <w:r w:rsidRPr="00940A13">
        <w:rPr>
          <w:rFonts w:ascii="Simplified Arabic" w:eastAsia="Times New Roman" w:hAnsi="Simplified Arabic" w:cs="Simplified Arabic"/>
          <w:b/>
          <w:bCs/>
          <w:color w:val="C00000"/>
          <w:sz w:val="40"/>
          <w:szCs w:val="40"/>
          <w:rtl/>
          <w:lang w:eastAsia="fr-FR"/>
        </w:rPr>
        <w:t xml:space="preserve">مهام المدرسة العليا للأساتذة </w:t>
      </w:r>
    </w:p>
    <w:p w:rsidR="00940A13" w:rsidRPr="00940A13" w:rsidRDefault="00940A13" w:rsidP="00940A13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تتولى المدرسة العليا للأساتذة في إطار المرفق العمومي للتعليم </w:t>
      </w:r>
      <w:proofErr w:type="spellStart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العالي،</w:t>
      </w:r>
      <w:proofErr w:type="spellEnd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مهام التكوين العالي ومهام البحث العلمي والتطوير التكنولوجي ومهام في ميدان </w:t>
      </w:r>
      <w:proofErr w:type="spellStart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تخصصها..</w:t>
      </w:r>
      <w:proofErr w:type="spellEnd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</w:t>
      </w:r>
    </w:p>
    <w:p w:rsidR="00940A13" w:rsidRPr="00940A13" w:rsidRDefault="00940A13" w:rsidP="00940A13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ويمكن إجمال أهم وأبرز ما تقوم </w:t>
      </w:r>
      <w:proofErr w:type="spellStart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به</w:t>
      </w:r>
      <w:proofErr w:type="spellEnd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فيما يلي: 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proofErr w:type="gramStart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ضمان</w:t>
      </w:r>
      <w:proofErr w:type="gramEnd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تكوين إطارات مؤهلة تأهيلا عالميا.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تلقين الطلبة مناهج البحث وضمان التكوين بالبحث وللبحث.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المساهمة في إنتاج ونشر العلوم والمعارف </w:t>
      </w:r>
      <w:proofErr w:type="gramStart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وتحصيلها</w:t>
      </w:r>
      <w:proofErr w:type="gramEnd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وتطويرها.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المشاركة في التكوين المتواصل.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ضمان تكوين المكونين لفائدة قطاع التربية الوطنية.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المساهمة في الجهد الوطني للبحث العلمي والتطوير التكنولوجي 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proofErr w:type="gramStart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ترقية</w:t>
      </w:r>
      <w:proofErr w:type="gramEnd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العلوم والتقنيات.</w:t>
      </w:r>
    </w:p>
    <w:p w:rsidR="00940A13" w:rsidRPr="00940A13" w:rsidRDefault="00940A13" w:rsidP="00940A13">
      <w:pPr>
        <w:bidi/>
        <w:spacing w:line="240" w:lineRule="auto"/>
        <w:ind w:left="720" w:hanging="360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تثمين نتائج البحث العلمي ونشر الإعلام </w:t>
      </w:r>
      <w:proofErr w:type="gramStart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العلمي</w:t>
      </w:r>
      <w:proofErr w:type="gramEnd"/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 والتقني.</w:t>
      </w:r>
    </w:p>
    <w:p w:rsidR="00940A13" w:rsidRPr="00940A13" w:rsidRDefault="00940A13" w:rsidP="00940A13">
      <w:pPr>
        <w:bidi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r w:rsidRPr="00940A13">
        <w:rPr>
          <w:rFonts w:ascii="Simplified Arabic" w:eastAsia="Arial" w:hAnsi="Simplified Arabic" w:cs="Simplified Arabic"/>
          <w:bCs/>
          <w:sz w:val="36"/>
          <w:szCs w:val="36"/>
          <w:rtl/>
          <w:lang w:eastAsia="fr-FR"/>
        </w:rPr>
        <w:t>-</w:t>
      </w:r>
      <w:r w:rsidRPr="00940A13">
        <w:rPr>
          <w:rFonts w:ascii="Simplified Arabic" w:eastAsia="Arial" w:hAnsi="Simplified Arabic" w:cs="Simplified Arabic"/>
          <w:bCs/>
          <w:sz w:val="14"/>
          <w:szCs w:val="14"/>
          <w:rtl/>
          <w:lang w:eastAsia="fr-FR"/>
        </w:rPr>
        <w:t> </w:t>
      </w:r>
      <w:r w:rsidRPr="00940A1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>المشاركة ضمن المجموعة العلمية الدولية في تبادل المعارف وإثرائها</w:t>
      </w:r>
    </w:p>
    <w:p w:rsidR="00E36A23" w:rsidRPr="00940A13" w:rsidRDefault="00E36A23" w:rsidP="00940A13">
      <w:pPr>
        <w:bidi/>
        <w:jc w:val="both"/>
        <w:rPr>
          <w:rFonts w:ascii="Simplified Arabic" w:hAnsi="Simplified Arabic" w:cs="Simplified Arabic"/>
          <w:rtl/>
        </w:rPr>
      </w:pPr>
    </w:p>
    <w:sectPr w:rsidR="00E36A23" w:rsidRPr="00940A13" w:rsidSect="0087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492F"/>
    <w:multiLevelType w:val="hybridMultilevel"/>
    <w:tmpl w:val="A93AC65C"/>
    <w:lvl w:ilvl="0" w:tplc="3D9AC8F0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6A23"/>
    <w:rsid w:val="001E371A"/>
    <w:rsid w:val="0039564D"/>
    <w:rsid w:val="005B12C7"/>
    <w:rsid w:val="00796C53"/>
    <w:rsid w:val="008771CB"/>
    <w:rsid w:val="009214BE"/>
    <w:rsid w:val="00940A13"/>
    <w:rsid w:val="00A37F28"/>
    <w:rsid w:val="00E3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37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37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ufsama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1192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6</cp:revision>
  <dcterms:created xsi:type="dcterms:W3CDTF">2020-04-04T16:42:00Z</dcterms:created>
  <dcterms:modified xsi:type="dcterms:W3CDTF">2020-04-05T17:17:00Z</dcterms:modified>
</cp:coreProperties>
</file>