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301" w:rsidRPr="00E64301" w:rsidRDefault="00E64301" w:rsidP="00E64301">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bookmarkStart w:id="0" w:name="_GoBack"/>
      <w:bookmarkEnd w:id="0"/>
      <w:r w:rsidRPr="00E64301">
        <w:rPr>
          <w:rFonts w:asciiTheme="majorBidi" w:eastAsia="Times New Roman" w:hAnsiTheme="majorBidi" w:cstheme="majorBidi"/>
          <w:b/>
          <w:bCs/>
          <w:sz w:val="24"/>
          <w:szCs w:val="24"/>
          <w:lang w:eastAsia="fr-FR"/>
        </w:rPr>
        <w:t>Cours 4 – Pierre Bourdieu et la reproduction culturelle</w:t>
      </w:r>
    </w:p>
    <w:p w:rsidR="00E64301" w:rsidRPr="00E64301" w:rsidRDefault="00E64301" w:rsidP="00E64301">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L’apport de Bourdieu occupe une place centrale dans la sociologie de la culture parce qu’il permet de dépasser plusieurs oppositions classiques. Il refuse d’abord de considérer les goûts culturels comme de simples préférences individuelles relevant d’une sensibilité personnelle. Il rejette également l’idée selon laquelle la culture serait un espace autonome, détaché des structures sociales. À l’inverse, il montre que les pratiques culturelles sont profondément liées aux conditions d’existence, aux trajectoires sociales et aux formes de capital inégalement distribuées dans la société. La culture devient ainsi un terrain privilégié d’observation des rapports de classe.</w:t>
      </w:r>
    </w:p>
    <w:p w:rsidR="00E64301" w:rsidRPr="00E64301" w:rsidRDefault="00E64301" w:rsidP="00E64301">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Dans cette perspective, les choix qui semblent les plus intimes — aimer un type de musique, fréquenter un musée, lire certains auteurs, maîtriser certains codes langagiers, apprécier telle cuisine ou telle manière de se vêtir — apparaissent comme socialement structurés. Ce que les individus vivent souvent comme une expression spontanée de leur personnalité est aussi le produit d’un apprentissage incorporé au cours de la socialisation. Bourdieu résume cette idée à travers l’un de ses concepts majeurs : l’</w:t>
      </w:r>
      <w:r w:rsidRPr="00E64301">
        <w:rPr>
          <w:rFonts w:asciiTheme="majorBidi" w:eastAsia="Times New Roman" w:hAnsiTheme="majorBidi" w:cstheme="majorBidi"/>
          <w:b/>
          <w:bCs/>
          <w:sz w:val="24"/>
          <w:szCs w:val="24"/>
          <w:lang w:eastAsia="fr-FR"/>
        </w:rPr>
        <w:t>habitus</w:t>
      </w:r>
      <w:r w:rsidRPr="00E64301">
        <w:rPr>
          <w:rFonts w:asciiTheme="majorBidi" w:eastAsia="Times New Roman" w:hAnsiTheme="majorBidi" w:cstheme="majorBidi"/>
          <w:sz w:val="24"/>
          <w:szCs w:val="24"/>
          <w:lang w:eastAsia="fr-FR"/>
        </w:rPr>
        <w:t>, c’est-à-dire un système durable de dispositions acquises qui oriente les perceptions, les goûts et les pratiques.</w:t>
      </w:r>
    </w:p>
    <w:p w:rsidR="00E64301" w:rsidRPr="00E64301" w:rsidRDefault="00E64301" w:rsidP="00E64301">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L’un des enjeux centraux de son œuvre consiste à montrer que la domination moderne ne passe pas uniquement par l’économie ou par la contrainte politique explicite, mais également par des formes plus discrètes de pouvoir symbolique. Certaines manières de parler, de juger, de consommer ou d’apprécier les œuvres sont socialement valorisées et présentées comme naturellement supérieures. Les groupes qui maîtrisent ces codes bénéficient d’avantages souvent invisibles, tandis que ceux qui en sont éloignés peuvent être disqualifiés sans que les mécanismes de cette exclusion apparaissent clairement. La culture fonctionne alors comme une ressource sociale et comme un principe de distinction.</w:t>
      </w:r>
    </w:p>
    <w:p w:rsidR="00E64301" w:rsidRPr="00E64301" w:rsidRDefault="00E64301" w:rsidP="00E64301">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Cette analyse trouve une expression particulièrement forte dans les travaux que Bourdieu consacre à l’école. L’institution scolaire se présente comme un espace neutre fondé sur l’égalité des chances et l’évaluation du mérite individuel. Pourtant, selon Bourdieu et Jean-Claude </w:t>
      </w:r>
      <w:proofErr w:type="spellStart"/>
      <w:r w:rsidRPr="00E64301">
        <w:rPr>
          <w:rFonts w:asciiTheme="majorBidi" w:eastAsia="Times New Roman" w:hAnsiTheme="majorBidi" w:cstheme="majorBidi"/>
          <w:sz w:val="24"/>
          <w:szCs w:val="24"/>
          <w:lang w:eastAsia="fr-FR"/>
        </w:rPr>
        <w:t>Passeron</w:t>
      </w:r>
      <w:proofErr w:type="spellEnd"/>
      <w:r w:rsidRPr="00E64301">
        <w:rPr>
          <w:rFonts w:asciiTheme="majorBidi" w:eastAsia="Times New Roman" w:hAnsiTheme="majorBidi" w:cstheme="majorBidi"/>
          <w:sz w:val="24"/>
          <w:szCs w:val="24"/>
          <w:lang w:eastAsia="fr-FR"/>
        </w:rPr>
        <w:t xml:space="preserve">, elle valorise implicitement des compétences culturelles davantage possédées par les classes favorisées : maîtrise du langage légitime, familiarité avec les œuvres consacrées, aisance dans l’abstraction ou dans les attentes implicites de l’institution. Ainsi, ce </w:t>
      </w:r>
      <w:r w:rsidRPr="00E64301">
        <w:rPr>
          <w:rFonts w:asciiTheme="majorBidi" w:eastAsia="Times New Roman" w:hAnsiTheme="majorBidi" w:cstheme="majorBidi"/>
          <w:sz w:val="24"/>
          <w:szCs w:val="24"/>
          <w:lang w:eastAsia="fr-FR"/>
        </w:rPr>
        <w:lastRenderedPageBreak/>
        <w:t>qui est reconnu comme talent personnel ou réussite méritée repose souvent sur des héritages sociaux préalables.</w:t>
      </w:r>
    </w:p>
    <w:p w:rsidR="00E64301" w:rsidRPr="00E64301" w:rsidRDefault="00E64301" w:rsidP="00E64301">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Le travail de Bourdieu marque donc une étape essentielle dans la sociologie de la culture, car il permet de penser ensemble les pratiques culturelles ordinaires, les institutions scolaires, les hiérarchies symboliques et la reproduction des inégalités sociales. Il offre une grille d’analyse particulièrement féconde pour comprendre pourquoi les sociétés démocratiques, tout en proclamant l’égalité formelle, continuent de produire de fortes inégalités de trajectoires et de légitimité culturelle.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b/>
          <w:bCs/>
          <w:sz w:val="24"/>
          <w:szCs w:val="24"/>
          <w:lang w:eastAsia="fr-FR"/>
        </w:rPr>
      </w:pPr>
      <w:r w:rsidRPr="00E64301">
        <w:rPr>
          <w:rFonts w:asciiTheme="majorBidi" w:eastAsia="Times New Roman" w:hAnsiTheme="majorBidi" w:cstheme="majorBidi"/>
          <w:b/>
          <w:bCs/>
          <w:sz w:val="24"/>
          <w:szCs w:val="24"/>
          <w:lang w:eastAsia="fr-FR"/>
        </w:rPr>
        <w:t>I. L’habitus : la socialisation incorporée comme principe des pratiques culturelles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L’un des concepts les plus célèbres et les plus structurants de l’œuvre de Pierre Bourdieu est celui d’</w:t>
      </w:r>
      <w:r w:rsidRPr="00E64301">
        <w:rPr>
          <w:rFonts w:asciiTheme="majorBidi" w:eastAsia="Times New Roman" w:hAnsiTheme="majorBidi" w:cstheme="majorBidi"/>
          <w:b/>
          <w:bCs/>
          <w:sz w:val="24"/>
          <w:szCs w:val="24"/>
          <w:lang w:eastAsia="fr-FR"/>
        </w:rPr>
        <w:t>habitus</w:t>
      </w:r>
      <w:r w:rsidRPr="00E64301">
        <w:rPr>
          <w:rFonts w:asciiTheme="majorBidi" w:eastAsia="Times New Roman" w:hAnsiTheme="majorBidi" w:cstheme="majorBidi"/>
          <w:sz w:val="24"/>
          <w:szCs w:val="24"/>
          <w:lang w:eastAsia="fr-FR"/>
        </w:rPr>
        <w:t>. Par cette notion, Bourdieu cherche à dépasser une opposition classique entre liberté individuelle et déterminisme social. D’un côté, certaines approches expliquent les comportements humains par des choix conscients, rationnels et autonomes ; de l’autre, d’autres perspectives tendent à réduire les individus à de simples produits mécaniques de leur milieu social. L’habitus permet de penser une position intermédiaire : les individus agissent effectivement, choisissent, jugent et préfèrent, mais ils le font à partir de dispositions durablement acquises au cours de leur socialisation. Autrement dit, leurs pratiques ne sont ni totalement libres ni entièrement imposées de l’extérieur.</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Bourdieu définit l’habitus comme un </w:t>
      </w:r>
      <w:r w:rsidRPr="00E64301">
        <w:rPr>
          <w:rFonts w:asciiTheme="majorBidi" w:eastAsia="Times New Roman" w:hAnsiTheme="majorBidi" w:cstheme="majorBidi"/>
          <w:b/>
          <w:bCs/>
          <w:sz w:val="24"/>
          <w:szCs w:val="24"/>
          <w:lang w:eastAsia="fr-FR"/>
        </w:rPr>
        <w:t>système de dispositions durables et transposables</w:t>
      </w:r>
      <w:r w:rsidRPr="00E64301">
        <w:rPr>
          <w:rFonts w:asciiTheme="majorBidi" w:eastAsia="Times New Roman" w:hAnsiTheme="majorBidi" w:cstheme="majorBidi"/>
          <w:sz w:val="24"/>
          <w:szCs w:val="24"/>
          <w:lang w:eastAsia="fr-FR"/>
        </w:rPr>
        <w:t>, produit par l’intériorisation des conditions sociales d’existence. Ces dispositions orientent les manières de percevoir le monde, de ressentir, de parler, de juger et d’agir. Elles ne fonctionnent pas comme des règles explicites que l’on appliquerait consciemment, mais comme des schèmes incorporés, souvent tacites, qui guident spontanément les comportements. L’habitus est donc une mémoire sociale inscrite dans les corps et dans les habitudes quotidiennes. Il se manifeste dans des gestes apparemment ordinaires : la manière de se tenir à table, le rapport à l’autorité, la façon de parler en public, le type de loisirs jugé naturel ou encore le sentiment d’être légitime ou non dans certains espaces sociaux.</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Cette notion est particulièrement féconde pour la sociologie de la culture. Les goûts culturels, loin d’être de simples préférences individuelles détachées du social, sont profondément liés à l’habitus. Le choix d’un genre musical, d’un style vestimentaire, d’une pratique sportive ou </w:t>
      </w:r>
      <w:r w:rsidRPr="00E64301">
        <w:rPr>
          <w:rFonts w:asciiTheme="majorBidi" w:eastAsia="Times New Roman" w:hAnsiTheme="majorBidi" w:cstheme="majorBidi"/>
          <w:sz w:val="24"/>
          <w:szCs w:val="24"/>
          <w:lang w:eastAsia="fr-FR"/>
        </w:rPr>
        <w:lastRenderedPageBreak/>
        <w:t>d’un type de lecture reflète souvent des dispositions acquises dans un milieu social donné. Bourdieu montre ainsi que les goûts ne relèvent pas seulement de la subjectivité personnelle ; ils expriment également une histoire sociale incorporée. Ce que l’on aime, ce que l’on rejette, ce qui nous paraît naturel, élégant, vulgaire ou ennuyeux dépend largement des apprentissages antérieurs.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Prenons l’exemple du rapport à la lecture. Dans certaines familles fortement dotées en capital culturel, la présence de livres, la fréquentation précoce des bibliothèques, les discussions intellectuelles ou la valorisation de la réussite scolaire créent un rapport familier et positif à l’écrit. Dans d’autres contextes sociaux, où dominent d’autres formes de savoir-faire et d’autres priorités liées aux contraintes matérielles, la lecture littéraire peut apparaître plus lointaine ou moins immédiatement valorisée. Il ne s’agit nullement d’une hiérarchie naturelle entre les individus, mais de socialisations différentes produisant des dispositions différentes.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L’habitus possède également une dimension génératrice. Il ne dicte pas des comportements identiques dans toutes les situations ; il produit plutôt une gamme de pratiques cohérentes avec les dispositions acquises. Deux individus issus de milieux proches ne feront pas nécessairement les mêmes choix exacts, mais leurs préférences auront souvent des logiques communes. Ainsi, l’habitus n’est pas un programme rigide : il laisse place à l’improvisation, à l’adaptation et à la variation, tout en conservant une structure relativement stable. C’est ce qui permet à Bourdieu d’expliquer la régularité statistique des comportements sociaux sans nier totalement la singularité individuelle.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Un autre aspect essentiel du concept réside dans le rapport entre habitus et sentiment de légitimité. Les individus ne se déplacent pas dans l’espace social avec la même aisance. Certains se sentent naturellement à leur place dans les institutions scolaires, les musées, les administrations ou les espaces du pouvoir ; d’autres peuvent éprouver un sentiment d’étrangeté, de gêne ou d’illégitimité. Ce phénomène ne relève pas d’une disposition psychologique abstraite, mais d’une correspondance plus ou moins forte entre l’habitus acquis et les attentes implicites de ces institutions. La confiance en soi, souvent présentée comme qualité personnelle, possède donc aussi une dimension sociale.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Le concept d’habitus a suscité de nombreux débats. Certains critiques lui reprochent de sous-estimer les capacités de rupture, de réflexivité ou de transformation des individus. D’autres estiment au contraire qu’il demeure l’un des outils les plus puissants pour comprendre la </w:t>
      </w:r>
      <w:r w:rsidRPr="00E64301">
        <w:rPr>
          <w:rFonts w:asciiTheme="majorBidi" w:eastAsia="Times New Roman" w:hAnsiTheme="majorBidi" w:cstheme="majorBidi"/>
          <w:sz w:val="24"/>
          <w:szCs w:val="24"/>
          <w:lang w:eastAsia="fr-FR"/>
        </w:rPr>
        <w:lastRenderedPageBreak/>
        <w:t>persistance des inégalités malgré les discours méritocratiques. En réalité, Bourdieu n’affirme pas que les trajectoires sont immuables ; il montre que les possibilités de changement s’inscrivent toujours dans des structures sociales préexistantes, qui rendent certaines options plus probables que d’autres.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b/>
          <w:bCs/>
          <w:sz w:val="24"/>
          <w:szCs w:val="24"/>
          <w:lang w:eastAsia="fr-FR"/>
        </w:rPr>
      </w:pPr>
      <w:r w:rsidRPr="00E64301">
        <w:rPr>
          <w:rFonts w:asciiTheme="majorBidi" w:eastAsia="Times New Roman" w:hAnsiTheme="majorBidi" w:cstheme="majorBidi"/>
          <w:b/>
          <w:bCs/>
          <w:sz w:val="24"/>
          <w:szCs w:val="24"/>
          <w:lang w:eastAsia="fr-FR"/>
        </w:rPr>
        <w:t>II. Le capital culturel : la culture comme ressource sociale inégalement distribuée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Après avoir montré, à travers la notion d’habitus, que les pratiques culturelles reposent sur des dispositions socialement acquises, Pierre Bourdieu introduit un second concept fondamental : celui de </w:t>
      </w:r>
      <w:r w:rsidRPr="00E64301">
        <w:rPr>
          <w:rFonts w:asciiTheme="majorBidi" w:eastAsia="Times New Roman" w:hAnsiTheme="majorBidi" w:cstheme="majorBidi"/>
          <w:b/>
          <w:bCs/>
          <w:sz w:val="24"/>
          <w:szCs w:val="24"/>
          <w:lang w:eastAsia="fr-FR"/>
        </w:rPr>
        <w:t>capital culturel</w:t>
      </w:r>
      <w:r w:rsidRPr="00E64301">
        <w:rPr>
          <w:rFonts w:asciiTheme="majorBidi" w:eastAsia="Times New Roman" w:hAnsiTheme="majorBidi" w:cstheme="majorBidi"/>
          <w:sz w:val="24"/>
          <w:szCs w:val="24"/>
          <w:lang w:eastAsia="fr-FR"/>
        </w:rPr>
        <w:t xml:space="preserve">. Par analogie avec le capital économique, il désigne l’ensemble des ressources culturelles dont disposent les individus et qui peuvent leur procurer des avantages dans différents espaces sociaux, notamment à l’école, à l’université, sur le marché du travail ou dans les institutions de prestige. L’originalité de cette notion réside dans le fait qu’elle permet de penser la culture non comme un simple enrichissement spirituel ou intellectuel, mais comme une </w:t>
      </w:r>
      <w:r w:rsidRPr="00E64301">
        <w:rPr>
          <w:rFonts w:asciiTheme="majorBidi" w:eastAsia="Times New Roman" w:hAnsiTheme="majorBidi" w:cstheme="majorBidi"/>
          <w:b/>
          <w:bCs/>
          <w:sz w:val="24"/>
          <w:szCs w:val="24"/>
          <w:lang w:eastAsia="fr-FR"/>
        </w:rPr>
        <w:t>ressource socialement efficace</w:t>
      </w:r>
      <w:r w:rsidRPr="00E64301">
        <w:rPr>
          <w:rFonts w:asciiTheme="majorBidi" w:eastAsia="Times New Roman" w:hAnsiTheme="majorBidi" w:cstheme="majorBidi"/>
          <w:sz w:val="24"/>
          <w:szCs w:val="24"/>
          <w:lang w:eastAsia="fr-FR"/>
        </w:rPr>
        <w:t>, c’est-à-dire susceptible d’être convertie en réussite scolaire, en reconnaissance sociale ou en mobilité ascendante.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Le concept de capital culturel rompt avec l’idée selon laquelle la réussite dépendrait exclusivement du talent personnel, de l’effort individuel ou du mérite abstrait. Bourdieu montre que les individus entrent dans les institutions avec des ressources initiales très inégalement réparties. Certains disposent dès l’enfance d’un environnement favorable : familiarité avec les livres, maîtrise du langage valorisé par l’école, encouragement à l’expression orale, connaissance implicite des codes scolaires, fréquentation des musées, voyages culturels, apprentissage musical ou artistique. D’autres, tout aussi capables intellectuellement, n’ont pas bénéficié des mêmes transmissions. Les écarts observés dans les trajectoires ne peuvent donc être compris sans tenir compte de ces héritages invisibles.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Bourdieu distingue classiquement </w:t>
      </w:r>
      <w:r w:rsidRPr="00E64301">
        <w:rPr>
          <w:rFonts w:asciiTheme="majorBidi" w:eastAsia="Times New Roman" w:hAnsiTheme="majorBidi" w:cstheme="majorBidi"/>
          <w:b/>
          <w:bCs/>
          <w:sz w:val="24"/>
          <w:szCs w:val="24"/>
          <w:lang w:eastAsia="fr-FR"/>
        </w:rPr>
        <w:t>trois formes de capital culturel</w:t>
      </w:r>
      <w:r w:rsidRPr="00E64301">
        <w:rPr>
          <w:rFonts w:asciiTheme="majorBidi" w:eastAsia="Times New Roman" w:hAnsiTheme="majorBidi" w:cstheme="majorBidi"/>
          <w:sz w:val="24"/>
          <w:szCs w:val="24"/>
          <w:lang w:eastAsia="fr-FR"/>
        </w:rPr>
        <w:t xml:space="preserve">. La première est le </w:t>
      </w:r>
      <w:r w:rsidRPr="00E64301">
        <w:rPr>
          <w:rFonts w:asciiTheme="majorBidi" w:eastAsia="Times New Roman" w:hAnsiTheme="majorBidi" w:cstheme="majorBidi"/>
          <w:b/>
          <w:bCs/>
          <w:sz w:val="24"/>
          <w:szCs w:val="24"/>
          <w:lang w:eastAsia="fr-FR"/>
        </w:rPr>
        <w:t>capital culturel incorporé</w:t>
      </w:r>
      <w:r w:rsidRPr="00E64301">
        <w:rPr>
          <w:rFonts w:asciiTheme="majorBidi" w:eastAsia="Times New Roman" w:hAnsiTheme="majorBidi" w:cstheme="majorBidi"/>
          <w:sz w:val="24"/>
          <w:szCs w:val="24"/>
          <w:lang w:eastAsia="fr-FR"/>
        </w:rPr>
        <w:t>, c’est-à-dire l’ensemble des dispositions durables acquises par le temps de socialisation : vocabulaire, accent, rapport au savoir, aisance à l’oral, familiarité avec certaines références, manières de juger ou de se comporter. Cette forme est particulièrement importante car elle est inscrite dans les corps et dans les habitudes ; elle ne se transmet pas instantanément mais exige du temps, de l’attention éducative et des conditions sociales propices. Elle explique pourquoi certaines compétences semblent naturelles alors qu’elles sont le produit d’un long apprentissage.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lastRenderedPageBreak/>
        <w:t xml:space="preserve">La deuxième forme est le </w:t>
      </w:r>
      <w:r w:rsidRPr="00E64301">
        <w:rPr>
          <w:rFonts w:asciiTheme="majorBidi" w:eastAsia="Times New Roman" w:hAnsiTheme="majorBidi" w:cstheme="majorBidi"/>
          <w:b/>
          <w:bCs/>
          <w:sz w:val="24"/>
          <w:szCs w:val="24"/>
          <w:lang w:eastAsia="fr-FR"/>
        </w:rPr>
        <w:t>capital culturel objectivé</w:t>
      </w:r>
      <w:r w:rsidRPr="00E64301">
        <w:rPr>
          <w:rFonts w:asciiTheme="majorBidi" w:eastAsia="Times New Roman" w:hAnsiTheme="majorBidi" w:cstheme="majorBidi"/>
          <w:sz w:val="24"/>
          <w:szCs w:val="24"/>
          <w:lang w:eastAsia="fr-FR"/>
        </w:rPr>
        <w:t>, qui renvoie aux biens matériels porteurs de culture : bibliothèques familiales, instruments de musique, œuvres d’art, accès à des ressources numériques éducatives, espaces domestiques favorables à l’étude, abonnements culturels, etc. La possession de ces objets ne garantit pas automatiquement leur usage, mais elle crée des opportunités d’appropriation et de familiarisation. Un enfant entouré de livres ou disposant d’un instrument de musique n’acquiert pas mécaniquement une compétence culturelle, mais évolue dans un univers où certaines pratiques apparaissent normales et accessibles.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La troisième forme est le </w:t>
      </w:r>
      <w:r w:rsidRPr="00E64301">
        <w:rPr>
          <w:rFonts w:asciiTheme="majorBidi" w:eastAsia="Times New Roman" w:hAnsiTheme="majorBidi" w:cstheme="majorBidi"/>
          <w:b/>
          <w:bCs/>
          <w:sz w:val="24"/>
          <w:szCs w:val="24"/>
          <w:lang w:eastAsia="fr-FR"/>
        </w:rPr>
        <w:t>capital culturel institutionnalisé</w:t>
      </w:r>
      <w:r w:rsidRPr="00E64301">
        <w:rPr>
          <w:rFonts w:asciiTheme="majorBidi" w:eastAsia="Times New Roman" w:hAnsiTheme="majorBidi" w:cstheme="majorBidi"/>
          <w:sz w:val="24"/>
          <w:szCs w:val="24"/>
          <w:lang w:eastAsia="fr-FR"/>
        </w:rPr>
        <w:t>, représenté principalement par les diplômes, certifications et titres scolaires. Ceux-ci jouent un rôle central dans les sociétés modernes, car ils traduisent des compétences culturelles en reconnaissance officielle. Le diplôme constitue une forme légitime et socialement reconnue de capital culturel, souvent convertible en emploi, en revenu ou en prestige. Toutefois, Bourdieu souligne que l’institution scolaire ne crée pas ex nihilo ces compétences : elle certifie aussi des dispositions déjà inégalement distribuées.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L’école occupe ainsi une place décisive dans l’analyse du capital culturel. Officiellement, elle se présente comme un espace neutre évaluant tous les élèves selon les mêmes critères. En pratique, elle valorise fréquemment des savoir-être, des manières de parler, des références implicites et des rapports au langage plus familiers aux enfants issus des classes favorisées. L’élève capable de s’exprimer avec aisance, de comprendre les implicites pédagogiques ou d’entretenir un rapport serein à l’écrit paraît plus « doué », alors qu’il bénéficie souvent d’une proximité culturelle avec l’univers scolaire. La réussite scolaire tend alors à transformer des privilèges hérités en mérite personnel reconnu.</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Prenons un exemple concret : lors d’un exposé universitaire, deux étudiants peuvent posséder une compréhension comparable du sujet. Pourtant, celui qui maîtrise davantage les codes de la prise de parole académique — structure du discours, vocabulaire attendu, posture assurée, références légitimes — sera souvent perçu comme plus compétent. Ce jugement ne repose pas uniquement sur la qualité intellectuelle du contenu, mais aussi sur des formes de capital culturel incorporé socialement acquises.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La notion de capital culturel permet également de comprendre la reproduction intergénérationnelle des positions sociales. Les familles transmettent non seulement des </w:t>
      </w:r>
      <w:r w:rsidRPr="00E64301">
        <w:rPr>
          <w:rFonts w:asciiTheme="majorBidi" w:eastAsia="Times New Roman" w:hAnsiTheme="majorBidi" w:cstheme="majorBidi"/>
          <w:sz w:val="24"/>
          <w:szCs w:val="24"/>
          <w:lang w:eastAsia="fr-FR"/>
        </w:rPr>
        <w:lastRenderedPageBreak/>
        <w:t>ressources économiques, mais aussi des manières de penser l’avenir, des ambitions scolaires, des réseaux d’information sur les filières prestigieuses et une connaissance pratique des institutions. Ainsi, les inégalités se perpétuent souvent sous des formes symboliques moins visibles que les écarts de revenu, mais tout aussi décisives.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Ce concept conserve aujourd’hui une forte actualité, bien que ses formes se transforment. À l’ère numérique, la maîtrise des outils informationnels, la capacité à trier les sources, les compétences linguistiques internationales ou la connaissance des codes professionnels contemporains constituent de nouvelles dimensions du capital culturel. Les technologies ne suppriment donc pas nécessairement les inégalités ; elles peuvent aussi les reconfigurer en valorisant d’autres ressources socialement distribuées de manière inégale.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b/>
          <w:bCs/>
          <w:sz w:val="24"/>
          <w:szCs w:val="24"/>
          <w:lang w:eastAsia="fr-FR"/>
        </w:rPr>
      </w:pPr>
      <w:r w:rsidRPr="00E64301">
        <w:rPr>
          <w:rFonts w:asciiTheme="majorBidi" w:eastAsia="Times New Roman" w:hAnsiTheme="majorBidi" w:cstheme="majorBidi"/>
          <w:b/>
          <w:bCs/>
          <w:sz w:val="24"/>
          <w:szCs w:val="24"/>
          <w:lang w:eastAsia="fr-FR"/>
        </w:rPr>
        <w:t>III. La distinction : les goûts culturels comme marqueurs de position sociale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L’un des apports les plus célèbres de Pierre Bourdieu à la sociologie de la culture réside dans l’analyse des goûts culturels comme instruments de classement social. Dans La Distinction, Bourdieu montre que les préférences esthétiques, culinaires, vestimentaires ou artistiques ne relèvent pas uniquement de sensibilités individuelles spontanées. Elles participent également à la construction des hiérarchies sociales en exprimant des styles de vie différenciés. Le goût apparaît ainsi comme un langage social à travers lequel les groupes manifestent leur position, affirment leur identité et établissent des frontières symboliques avec d’autres groupes.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La formule devenue célèbre de Bourdieu — </w:t>
      </w:r>
      <w:r w:rsidRPr="00E64301">
        <w:rPr>
          <w:rFonts w:asciiTheme="majorBidi" w:eastAsia="Times New Roman" w:hAnsiTheme="majorBidi" w:cstheme="majorBidi"/>
          <w:i/>
          <w:iCs/>
          <w:sz w:val="24"/>
          <w:szCs w:val="24"/>
          <w:lang w:eastAsia="fr-FR"/>
        </w:rPr>
        <w:t>« le goût classe, et classe celui qui classe »</w:t>
      </w:r>
      <w:r w:rsidRPr="00E64301">
        <w:rPr>
          <w:rFonts w:asciiTheme="majorBidi" w:eastAsia="Times New Roman" w:hAnsiTheme="majorBidi" w:cstheme="majorBidi"/>
          <w:sz w:val="24"/>
          <w:szCs w:val="24"/>
          <w:lang w:eastAsia="fr-FR"/>
        </w:rPr>
        <w:t xml:space="preserve"> — résume cette intuition centrale. D’une part, les goûts permettent de classer les objets, les pratiques et les personnes : telle musique est jugée raffinée, telle autre vulgaire ; tel mode de consommation paraît distingué, tel autre ordinaire. D’autre part, ces jugements révèlent eux-mêmes la position sociale de ceux qui les émettent. En prétendant simplement exprimer une préférence personnelle, les individus mobilisent souvent des catégories de perception socialement construites. Le goût n’est donc jamais totalement innocent : il engage une vision du monde et une relation à la hiérarchie sociale.</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Bourdieu met en évidence le fait que les classes dominantes tendent à valoriser un rapport à la culture fondé sur la distance, la maîtrise des codes et le refus de l’utilité immédiate. L’appréciation d’une œuvre complexe, abstraite ou difficile peut devenir un signe de distinction, précisément parce qu’elle suppose du temps, une familiarité culturelle préalable et </w:t>
      </w:r>
      <w:r w:rsidRPr="00E64301">
        <w:rPr>
          <w:rFonts w:asciiTheme="majorBidi" w:eastAsia="Times New Roman" w:hAnsiTheme="majorBidi" w:cstheme="majorBidi"/>
          <w:sz w:val="24"/>
          <w:szCs w:val="24"/>
          <w:lang w:eastAsia="fr-FR"/>
        </w:rPr>
        <w:lastRenderedPageBreak/>
        <w:t>des compétences interprétatives. À l’inverse, les classes populaires privilégient plus fréquemment — selon les contextes étudiés par Bourdieu — des formes culturelles liées à la fonctionnalité, à l’émotion directe ou à l’usage concret. Il ne s’agit pas d’une hiérarchie naturelle entre goûts « supérieurs » et goûts « inférieurs », mais de rapports différenciés au monde social produits par des conditions d’existence différentes.</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Cette analyse se vérifie dans de nombreux domaines de la vie quotidienne. Les pratiques alimentaires, par exemple, peuvent exprimer des styles de vie distincts : valorisation de la rareté, de la sophistication culinaire ou du souci diététique d’un côté ; attachement à la générosité, à la satiété ou à la convivialité de l’autre. De même, dans le domaine artistique, la fréquentation des musées, de l’opéra ou de certaines formes de littérature peut fonctionner comme signe de capital culturel. Même les choix résidentiels, le mobilier intérieur, les vacances ou les pratiques sportives participent de ces logiques de distinction.</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La distinction ne repose pas uniquement sur la possession de biens coûteux ; elle passe aussi par la manière de les utiliser et de les interpréter. Deux individus peuvent visiter le même musée, écouter la même œuvre musicale ou fréquenter le même restaurant, sans disposer du même capital symbolique. Ce qui compte est également la capacité à produire un discours légitime sur l’expérience vécue, à reconnaître les références implicites ou à manifester une aisance conforme aux attentes du lieu. La domination culturelle se joue donc souvent dans des détails invisibles aux yeux de ceux qui les maîtrisent déjà.</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Un aspect central de cette théorie est que les goûts contribuent à naturaliser les inégalités sociales. Les privilèges culturels tendent à apparaître comme des qualités personnelles : finesse, élégance, intelligence esthétique, sens du beau. Or, Bourdieu montre que ces dispositions sont largement liées à des conditions de socialisation favorables. La distinction transforme ainsi des héritages sociaux en mérites individuels apparents. Ce mécanisme explique pourquoi les hiérarchies symboliques peuvent être acceptées même par ceux qu’elles désavantagent : elles se présentent sous la forme de différences de goût plutôt que comme des rapports de domination.</w:t>
      </w:r>
    </w:p>
    <w:p w:rsidR="00E64301" w:rsidRPr="00E64301"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 xml:space="preserve">Il convient cependant de nuancer cette analyse. Les goûts ne sont pas figés, et les frontières culturelles évoluent historiquement. Des pratiques autrefois populaires peuvent être revalorisées, institutionnalisées ou récupérées par les classes supérieures. Le jazz, certaines cuisines populaires, le </w:t>
      </w:r>
      <w:proofErr w:type="spellStart"/>
      <w:r w:rsidRPr="00E64301">
        <w:rPr>
          <w:rFonts w:asciiTheme="majorBidi" w:eastAsia="Times New Roman" w:hAnsiTheme="majorBidi" w:cstheme="majorBidi"/>
          <w:sz w:val="24"/>
          <w:szCs w:val="24"/>
          <w:lang w:eastAsia="fr-FR"/>
        </w:rPr>
        <w:t>streetwear</w:t>
      </w:r>
      <w:proofErr w:type="spellEnd"/>
      <w:r w:rsidRPr="00E64301">
        <w:rPr>
          <w:rFonts w:asciiTheme="majorBidi" w:eastAsia="Times New Roman" w:hAnsiTheme="majorBidi" w:cstheme="majorBidi"/>
          <w:sz w:val="24"/>
          <w:szCs w:val="24"/>
          <w:lang w:eastAsia="fr-FR"/>
        </w:rPr>
        <w:t xml:space="preserve"> ou des formes artistiques issues des marges sociales ont </w:t>
      </w:r>
      <w:r w:rsidRPr="00E64301">
        <w:rPr>
          <w:rFonts w:asciiTheme="majorBidi" w:eastAsia="Times New Roman" w:hAnsiTheme="majorBidi" w:cstheme="majorBidi"/>
          <w:sz w:val="24"/>
          <w:szCs w:val="24"/>
          <w:lang w:eastAsia="fr-FR"/>
        </w:rPr>
        <w:lastRenderedPageBreak/>
        <w:t>parfois connu ce type de trajectoire. La distinction n’est donc pas un système immobile ; elle se recompose sans cesse à mesure que les groupes sociaux redéfinissent ce qui vaut comme rare, légitime ou innovant.</w:t>
      </w:r>
    </w:p>
    <w:p w:rsidR="00CA7297" w:rsidRPr="00747078" w:rsidRDefault="00E64301" w:rsidP="00E64301">
      <w:pPr>
        <w:spacing w:before="100" w:beforeAutospacing="1" w:after="100" w:afterAutospacing="1" w:line="360" w:lineRule="auto"/>
        <w:jc w:val="both"/>
        <w:rPr>
          <w:rFonts w:asciiTheme="majorBidi" w:eastAsia="Times New Roman" w:hAnsiTheme="majorBidi" w:cstheme="majorBidi"/>
          <w:sz w:val="24"/>
          <w:szCs w:val="24"/>
          <w:lang w:eastAsia="fr-FR"/>
        </w:rPr>
      </w:pPr>
      <w:r w:rsidRPr="00E64301">
        <w:rPr>
          <w:rFonts w:asciiTheme="majorBidi" w:eastAsia="Times New Roman" w:hAnsiTheme="majorBidi" w:cstheme="majorBidi"/>
          <w:sz w:val="24"/>
          <w:szCs w:val="24"/>
          <w:lang w:eastAsia="fr-FR"/>
        </w:rPr>
        <w:t>Dans les sociétés contemporaines, marquées par la diversification des offres culturelles et la mondialisation numérique, la distinction prend souvent des formes plus subtiles. L’éclectisme culturel lui-même peut devenir une ressource valorisée : afficher sa capacité à apprécier à la fois la musique classique, le cinéma d’auteur, les cultures urbaines et la cuisine du monde peut fonctionner comme signe d’ouverture sophistiquée. Ce ne sont plus seulement les goûts exclusifs qui distinguent, mais parfois la maîtrise de la diversité.</w:t>
      </w:r>
    </w:p>
    <w:sectPr w:rsidR="00CA7297" w:rsidRPr="007470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691" w:rsidRDefault="00340691" w:rsidP="00747078">
      <w:pPr>
        <w:spacing w:after="0" w:line="240" w:lineRule="auto"/>
      </w:pPr>
      <w:r>
        <w:separator/>
      </w:r>
    </w:p>
  </w:endnote>
  <w:endnote w:type="continuationSeparator" w:id="0">
    <w:p w:rsidR="00340691" w:rsidRDefault="00340691" w:rsidP="0074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691" w:rsidRDefault="00340691" w:rsidP="00747078">
      <w:pPr>
        <w:spacing w:after="0" w:line="240" w:lineRule="auto"/>
      </w:pPr>
      <w:r>
        <w:separator/>
      </w:r>
    </w:p>
  </w:footnote>
  <w:footnote w:type="continuationSeparator" w:id="0">
    <w:p w:rsidR="00340691" w:rsidRDefault="00340691" w:rsidP="00747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78" w:rsidRDefault="00747078" w:rsidP="00747078">
    <w:pPr>
      <w:pStyle w:val="En-tte"/>
    </w:pPr>
    <w:r>
      <w:t>Module : Sociologie de la culture</w:t>
    </w:r>
    <w:r w:rsidR="00E64301">
      <w:tab/>
      <w:t>Cours 4</w:t>
    </w:r>
    <w:r>
      <w:tab/>
      <w:t>Dr. Boucheffa Souheila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49B"/>
    <w:rsid w:val="00010F1A"/>
    <w:rsid w:val="00210E3D"/>
    <w:rsid w:val="00242F54"/>
    <w:rsid w:val="00340691"/>
    <w:rsid w:val="006C58CE"/>
    <w:rsid w:val="006F5EBC"/>
    <w:rsid w:val="00722A1A"/>
    <w:rsid w:val="00747078"/>
    <w:rsid w:val="00781452"/>
    <w:rsid w:val="00C1449B"/>
    <w:rsid w:val="00CA7297"/>
    <w:rsid w:val="00E643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4239">
      <w:bodyDiv w:val="1"/>
      <w:marLeft w:val="0"/>
      <w:marRight w:val="0"/>
      <w:marTop w:val="0"/>
      <w:marBottom w:val="0"/>
      <w:divBdr>
        <w:top w:val="none" w:sz="0" w:space="0" w:color="auto"/>
        <w:left w:val="none" w:sz="0" w:space="0" w:color="auto"/>
        <w:bottom w:val="none" w:sz="0" w:space="0" w:color="auto"/>
        <w:right w:val="none" w:sz="0" w:space="0" w:color="auto"/>
      </w:divBdr>
    </w:div>
    <w:div w:id="214778603">
      <w:bodyDiv w:val="1"/>
      <w:marLeft w:val="0"/>
      <w:marRight w:val="0"/>
      <w:marTop w:val="0"/>
      <w:marBottom w:val="0"/>
      <w:divBdr>
        <w:top w:val="none" w:sz="0" w:space="0" w:color="auto"/>
        <w:left w:val="none" w:sz="0" w:space="0" w:color="auto"/>
        <w:bottom w:val="none" w:sz="0" w:space="0" w:color="auto"/>
        <w:right w:val="none" w:sz="0" w:space="0" w:color="auto"/>
      </w:divBdr>
    </w:div>
    <w:div w:id="224755065">
      <w:bodyDiv w:val="1"/>
      <w:marLeft w:val="0"/>
      <w:marRight w:val="0"/>
      <w:marTop w:val="0"/>
      <w:marBottom w:val="0"/>
      <w:divBdr>
        <w:top w:val="none" w:sz="0" w:space="0" w:color="auto"/>
        <w:left w:val="none" w:sz="0" w:space="0" w:color="auto"/>
        <w:bottom w:val="none" w:sz="0" w:space="0" w:color="auto"/>
        <w:right w:val="none" w:sz="0" w:space="0" w:color="auto"/>
      </w:divBdr>
    </w:div>
    <w:div w:id="275602832">
      <w:bodyDiv w:val="1"/>
      <w:marLeft w:val="0"/>
      <w:marRight w:val="0"/>
      <w:marTop w:val="0"/>
      <w:marBottom w:val="0"/>
      <w:divBdr>
        <w:top w:val="none" w:sz="0" w:space="0" w:color="auto"/>
        <w:left w:val="none" w:sz="0" w:space="0" w:color="auto"/>
        <w:bottom w:val="none" w:sz="0" w:space="0" w:color="auto"/>
        <w:right w:val="none" w:sz="0" w:space="0" w:color="auto"/>
      </w:divBdr>
    </w:div>
    <w:div w:id="440150360">
      <w:bodyDiv w:val="1"/>
      <w:marLeft w:val="0"/>
      <w:marRight w:val="0"/>
      <w:marTop w:val="0"/>
      <w:marBottom w:val="0"/>
      <w:divBdr>
        <w:top w:val="none" w:sz="0" w:space="0" w:color="auto"/>
        <w:left w:val="none" w:sz="0" w:space="0" w:color="auto"/>
        <w:bottom w:val="none" w:sz="0" w:space="0" w:color="auto"/>
        <w:right w:val="none" w:sz="0" w:space="0" w:color="auto"/>
      </w:divBdr>
    </w:div>
    <w:div w:id="799886371">
      <w:bodyDiv w:val="1"/>
      <w:marLeft w:val="0"/>
      <w:marRight w:val="0"/>
      <w:marTop w:val="0"/>
      <w:marBottom w:val="0"/>
      <w:divBdr>
        <w:top w:val="none" w:sz="0" w:space="0" w:color="auto"/>
        <w:left w:val="none" w:sz="0" w:space="0" w:color="auto"/>
        <w:bottom w:val="none" w:sz="0" w:space="0" w:color="auto"/>
        <w:right w:val="none" w:sz="0" w:space="0" w:color="auto"/>
      </w:divBdr>
    </w:div>
    <w:div w:id="990403234">
      <w:bodyDiv w:val="1"/>
      <w:marLeft w:val="0"/>
      <w:marRight w:val="0"/>
      <w:marTop w:val="0"/>
      <w:marBottom w:val="0"/>
      <w:divBdr>
        <w:top w:val="none" w:sz="0" w:space="0" w:color="auto"/>
        <w:left w:val="none" w:sz="0" w:space="0" w:color="auto"/>
        <w:bottom w:val="none" w:sz="0" w:space="0" w:color="auto"/>
        <w:right w:val="none" w:sz="0" w:space="0" w:color="auto"/>
      </w:divBdr>
      <w:divsChild>
        <w:div w:id="2038307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397378">
      <w:bodyDiv w:val="1"/>
      <w:marLeft w:val="0"/>
      <w:marRight w:val="0"/>
      <w:marTop w:val="0"/>
      <w:marBottom w:val="0"/>
      <w:divBdr>
        <w:top w:val="none" w:sz="0" w:space="0" w:color="auto"/>
        <w:left w:val="none" w:sz="0" w:space="0" w:color="auto"/>
        <w:bottom w:val="none" w:sz="0" w:space="0" w:color="auto"/>
        <w:right w:val="none" w:sz="0" w:space="0" w:color="auto"/>
      </w:divBdr>
    </w:div>
    <w:div w:id="1518351504">
      <w:bodyDiv w:val="1"/>
      <w:marLeft w:val="0"/>
      <w:marRight w:val="0"/>
      <w:marTop w:val="0"/>
      <w:marBottom w:val="0"/>
      <w:divBdr>
        <w:top w:val="none" w:sz="0" w:space="0" w:color="auto"/>
        <w:left w:val="none" w:sz="0" w:space="0" w:color="auto"/>
        <w:bottom w:val="none" w:sz="0" w:space="0" w:color="auto"/>
        <w:right w:val="none" w:sz="0" w:space="0" w:color="auto"/>
      </w:divBdr>
    </w:div>
    <w:div w:id="1779980139">
      <w:bodyDiv w:val="1"/>
      <w:marLeft w:val="0"/>
      <w:marRight w:val="0"/>
      <w:marTop w:val="0"/>
      <w:marBottom w:val="0"/>
      <w:divBdr>
        <w:top w:val="none" w:sz="0" w:space="0" w:color="auto"/>
        <w:left w:val="none" w:sz="0" w:space="0" w:color="auto"/>
        <w:bottom w:val="none" w:sz="0" w:space="0" w:color="auto"/>
        <w:right w:val="none" w:sz="0" w:space="0" w:color="auto"/>
      </w:divBdr>
    </w:div>
    <w:div w:id="1841313809">
      <w:bodyDiv w:val="1"/>
      <w:marLeft w:val="0"/>
      <w:marRight w:val="0"/>
      <w:marTop w:val="0"/>
      <w:marBottom w:val="0"/>
      <w:divBdr>
        <w:top w:val="none" w:sz="0" w:space="0" w:color="auto"/>
        <w:left w:val="none" w:sz="0" w:space="0" w:color="auto"/>
        <w:bottom w:val="none" w:sz="0" w:space="0" w:color="auto"/>
        <w:right w:val="none" w:sz="0" w:space="0" w:color="auto"/>
      </w:divBdr>
      <w:divsChild>
        <w:div w:id="441001936">
          <w:marLeft w:val="0"/>
          <w:marRight w:val="0"/>
          <w:marTop w:val="0"/>
          <w:marBottom w:val="0"/>
          <w:divBdr>
            <w:top w:val="none" w:sz="0" w:space="0" w:color="auto"/>
            <w:left w:val="none" w:sz="0" w:space="0" w:color="auto"/>
            <w:bottom w:val="none" w:sz="0" w:space="0" w:color="auto"/>
            <w:right w:val="none" w:sz="0" w:space="0" w:color="auto"/>
          </w:divBdr>
          <w:divsChild>
            <w:div w:id="293103310">
              <w:marLeft w:val="0"/>
              <w:marRight w:val="0"/>
              <w:marTop w:val="0"/>
              <w:marBottom w:val="0"/>
              <w:divBdr>
                <w:top w:val="none" w:sz="0" w:space="0" w:color="auto"/>
                <w:left w:val="none" w:sz="0" w:space="0" w:color="auto"/>
                <w:bottom w:val="none" w:sz="0" w:space="0" w:color="auto"/>
                <w:right w:val="none" w:sz="0" w:space="0" w:color="auto"/>
              </w:divBdr>
              <w:divsChild>
                <w:div w:id="665087624">
                  <w:marLeft w:val="0"/>
                  <w:marRight w:val="0"/>
                  <w:marTop w:val="0"/>
                  <w:marBottom w:val="0"/>
                  <w:divBdr>
                    <w:top w:val="none" w:sz="0" w:space="0" w:color="auto"/>
                    <w:left w:val="none" w:sz="0" w:space="0" w:color="auto"/>
                    <w:bottom w:val="none" w:sz="0" w:space="0" w:color="auto"/>
                    <w:right w:val="none" w:sz="0" w:space="0" w:color="auto"/>
                  </w:divBdr>
                  <w:divsChild>
                    <w:div w:id="1301181756">
                      <w:marLeft w:val="0"/>
                      <w:marRight w:val="0"/>
                      <w:marTop w:val="0"/>
                      <w:marBottom w:val="0"/>
                      <w:divBdr>
                        <w:top w:val="none" w:sz="0" w:space="0" w:color="auto"/>
                        <w:left w:val="none" w:sz="0" w:space="0" w:color="auto"/>
                        <w:bottom w:val="none" w:sz="0" w:space="0" w:color="auto"/>
                        <w:right w:val="none" w:sz="0" w:space="0" w:color="auto"/>
                      </w:divBdr>
                      <w:divsChild>
                        <w:div w:id="213928804">
                          <w:marLeft w:val="0"/>
                          <w:marRight w:val="0"/>
                          <w:marTop w:val="0"/>
                          <w:marBottom w:val="0"/>
                          <w:divBdr>
                            <w:top w:val="none" w:sz="0" w:space="0" w:color="auto"/>
                            <w:left w:val="none" w:sz="0" w:space="0" w:color="auto"/>
                            <w:bottom w:val="none" w:sz="0" w:space="0" w:color="auto"/>
                            <w:right w:val="none" w:sz="0" w:space="0" w:color="auto"/>
                          </w:divBdr>
                          <w:divsChild>
                            <w:div w:id="4940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798215">
      <w:bodyDiv w:val="1"/>
      <w:marLeft w:val="0"/>
      <w:marRight w:val="0"/>
      <w:marTop w:val="0"/>
      <w:marBottom w:val="0"/>
      <w:divBdr>
        <w:top w:val="none" w:sz="0" w:space="0" w:color="auto"/>
        <w:left w:val="none" w:sz="0" w:space="0" w:color="auto"/>
        <w:bottom w:val="none" w:sz="0" w:space="0" w:color="auto"/>
        <w:right w:val="none" w:sz="0" w:space="0" w:color="auto"/>
      </w:divBdr>
    </w:div>
    <w:div w:id="1876456947">
      <w:bodyDiv w:val="1"/>
      <w:marLeft w:val="0"/>
      <w:marRight w:val="0"/>
      <w:marTop w:val="0"/>
      <w:marBottom w:val="0"/>
      <w:divBdr>
        <w:top w:val="none" w:sz="0" w:space="0" w:color="auto"/>
        <w:left w:val="none" w:sz="0" w:space="0" w:color="auto"/>
        <w:bottom w:val="none" w:sz="0" w:space="0" w:color="auto"/>
        <w:right w:val="none" w:sz="0" w:space="0" w:color="auto"/>
      </w:divBdr>
    </w:div>
    <w:div w:id="2064912498">
      <w:bodyDiv w:val="1"/>
      <w:marLeft w:val="0"/>
      <w:marRight w:val="0"/>
      <w:marTop w:val="0"/>
      <w:marBottom w:val="0"/>
      <w:divBdr>
        <w:top w:val="none" w:sz="0" w:space="0" w:color="auto"/>
        <w:left w:val="none" w:sz="0" w:space="0" w:color="auto"/>
        <w:bottom w:val="none" w:sz="0" w:space="0" w:color="auto"/>
        <w:right w:val="none" w:sz="0" w:space="0" w:color="auto"/>
      </w:divBdr>
      <w:divsChild>
        <w:div w:id="1599215642">
          <w:marLeft w:val="0"/>
          <w:marRight w:val="0"/>
          <w:marTop w:val="0"/>
          <w:marBottom w:val="0"/>
          <w:divBdr>
            <w:top w:val="none" w:sz="0" w:space="0" w:color="auto"/>
            <w:left w:val="none" w:sz="0" w:space="0" w:color="auto"/>
            <w:bottom w:val="none" w:sz="0" w:space="0" w:color="auto"/>
            <w:right w:val="none" w:sz="0" w:space="0" w:color="auto"/>
          </w:divBdr>
          <w:divsChild>
            <w:div w:id="1828203696">
              <w:marLeft w:val="0"/>
              <w:marRight w:val="0"/>
              <w:marTop w:val="0"/>
              <w:marBottom w:val="0"/>
              <w:divBdr>
                <w:top w:val="none" w:sz="0" w:space="0" w:color="auto"/>
                <w:left w:val="none" w:sz="0" w:space="0" w:color="auto"/>
                <w:bottom w:val="none" w:sz="0" w:space="0" w:color="auto"/>
                <w:right w:val="none" w:sz="0" w:space="0" w:color="auto"/>
              </w:divBdr>
              <w:divsChild>
                <w:div w:id="818424634">
                  <w:marLeft w:val="0"/>
                  <w:marRight w:val="0"/>
                  <w:marTop w:val="0"/>
                  <w:marBottom w:val="0"/>
                  <w:divBdr>
                    <w:top w:val="none" w:sz="0" w:space="0" w:color="auto"/>
                    <w:left w:val="none" w:sz="0" w:space="0" w:color="auto"/>
                    <w:bottom w:val="none" w:sz="0" w:space="0" w:color="auto"/>
                    <w:right w:val="none" w:sz="0" w:space="0" w:color="auto"/>
                  </w:divBdr>
                  <w:divsChild>
                    <w:div w:id="1347905671">
                      <w:marLeft w:val="0"/>
                      <w:marRight w:val="0"/>
                      <w:marTop w:val="0"/>
                      <w:marBottom w:val="0"/>
                      <w:divBdr>
                        <w:top w:val="none" w:sz="0" w:space="0" w:color="auto"/>
                        <w:left w:val="none" w:sz="0" w:space="0" w:color="auto"/>
                        <w:bottom w:val="none" w:sz="0" w:space="0" w:color="auto"/>
                        <w:right w:val="none" w:sz="0" w:space="0" w:color="auto"/>
                      </w:divBdr>
                      <w:divsChild>
                        <w:div w:id="676999747">
                          <w:marLeft w:val="0"/>
                          <w:marRight w:val="0"/>
                          <w:marTop w:val="0"/>
                          <w:marBottom w:val="0"/>
                          <w:divBdr>
                            <w:top w:val="none" w:sz="0" w:space="0" w:color="auto"/>
                            <w:left w:val="none" w:sz="0" w:space="0" w:color="auto"/>
                            <w:bottom w:val="none" w:sz="0" w:space="0" w:color="auto"/>
                            <w:right w:val="none" w:sz="0" w:space="0" w:color="auto"/>
                          </w:divBdr>
                          <w:divsChild>
                            <w:div w:id="1989046885">
                              <w:marLeft w:val="0"/>
                              <w:marRight w:val="0"/>
                              <w:marTop w:val="0"/>
                              <w:marBottom w:val="0"/>
                              <w:divBdr>
                                <w:top w:val="none" w:sz="0" w:space="0" w:color="auto"/>
                                <w:left w:val="none" w:sz="0" w:space="0" w:color="auto"/>
                                <w:bottom w:val="none" w:sz="0" w:space="0" w:color="auto"/>
                                <w:right w:val="none" w:sz="0" w:space="0" w:color="auto"/>
                              </w:divBdr>
                              <w:divsChild>
                                <w:div w:id="148789774">
                                  <w:marLeft w:val="0"/>
                                  <w:marRight w:val="0"/>
                                  <w:marTop w:val="0"/>
                                  <w:marBottom w:val="0"/>
                                  <w:divBdr>
                                    <w:top w:val="none" w:sz="0" w:space="0" w:color="auto"/>
                                    <w:left w:val="none" w:sz="0" w:space="0" w:color="auto"/>
                                    <w:bottom w:val="none" w:sz="0" w:space="0" w:color="auto"/>
                                    <w:right w:val="none" w:sz="0" w:space="0" w:color="auto"/>
                                  </w:divBdr>
                                  <w:divsChild>
                                    <w:div w:id="154687184">
                                      <w:marLeft w:val="0"/>
                                      <w:marRight w:val="0"/>
                                      <w:marTop w:val="0"/>
                                      <w:marBottom w:val="0"/>
                                      <w:divBdr>
                                        <w:top w:val="none" w:sz="0" w:space="0" w:color="auto"/>
                                        <w:left w:val="none" w:sz="0" w:space="0" w:color="auto"/>
                                        <w:bottom w:val="none" w:sz="0" w:space="0" w:color="auto"/>
                                        <w:right w:val="none" w:sz="0" w:space="0" w:color="auto"/>
                                      </w:divBdr>
                                      <w:divsChild>
                                        <w:div w:id="1620333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085201">
          <w:marLeft w:val="0"/>
          <w:marRight w:val="0"/>
          <w:marTop w:val="0"/>
          <w:marBottom w:val="0"/>
          <w:divBdr>
            <w:top w:val="none" w:sz="0" w:space="0" w:color="auto"/>
            <w:left w:val="none" w:sz="0" w:space="0" w:color="auto"/>
            <w:bottom w:val="none" w:sz="0" w:space="0" w:color="auto"/>
            <w:right w:val="none" w:sz="0" w:space="0" w:color="auto"/>
          </w:divBdr>
          <w:divsChild>
            <w:div w:id="1351643196">
              <w:marLeft w:val="0"/>
              <w:marRight w:val="0"/>
              <w:marTop w:val="0"/>
              <w:marBottom w:val="0"/>
              <w:divBdr>
                <w:top w:val="none" w:sz="0" w:space="0" w:color="auto"/>
                <w:left w:val="none" w:sz="0" w:space="0" w:color="auto"/>
                <w:bottom w:val="none" w:sz="0" w:space="0" w:color="auto"/>
                <w:right w:val="none" w:sz="0" w:space="0" w:color="auto"/>
              </w:divBdr>
              <w:divsChild>
                <w:div w:id="185951668">
                  <w:marLeft w:val="0"/>
                  <w:marRight w:val="0"/>
                  <w:marTop w:val="0"/>
                  <w:marBottom w:val="0"/>
                  <w:divBdr>
                    <w:top w:val="none" w:sz="0" w:space="0" w:color="auto"/>
                    <w:left w:val="none" w:sz="0" w:space="0" w:color="auto"/>
                    <w:bottom w:val="none" w:sz="0" w:space="0" w:color="auto"/>
                    <w:right w:val="none" w:sz="0" w:space="0" w:color="auto"/>
                  </w:divBdr>
                  <w:divsChild>
                    <w:div w:id="393701397">
                      <w:marLeft w:val="0"/>
                      <w:marRight w:val="0"/>
                      <w:marTop w:val="0"/>
                      <w:marBottom w:val="0"/>
                      <w:divBdr>
                        <w:top w:val="none" w:sz="0" w:space="0" w:color="auto"/>
                        <w:left w:val="none" w:sz="0" w:space="0" w:color="auto"/>
                        <w:bottom w:val="none" w:sz="0" w:space="0" w:color="auto"/>
                        <w:right w:val="none" w:sz="0" w:space="0" w:color="auto"/>
                      </w:divBdr>
                      <w:divsChild>
                        <w:div w:id="416562084">
                          <w:marLeft w:val="0"/>
                          <w:marRight w:val="0"/>
                          <w:marTop w:val="0"/>
                          <w:marBottom w:val="0"/>
                          <w:divBdr>
                            <w:top w:val="none" w:sz="0" w:space="0" w:color="auto"/>
                            <w:left w:val="none" w:sz="0" w:space="0" w:color="auto"/>
                            <w:bottom w:val="none" w:sz="0" w:space="0" w:color="auto"/>
                            <w:right w:val="none" w:sz="0" w:space="0" w:color="auto"/>
                          </w:divBdr>
                          <w:divsChild>
                            <w:div w:id="1406564111">
                              <w:marLeft w:val="0"/>
                              <w:marRight w:val="0"/>
                              <w:marTop w:val="0"/>
                              <w:marBottom w:val="0"/>
                              <w:divBdr>
                                <w:top w:val="none" w:sz="0" w:space="0" w:color="auto"/>
                                <w:left w:val="none" w:sz="0" w:space="0" w:color="auto"/>
                                <w:bottom w:val="none" w:sz="0" w:space="0" w:color="auto"/>
                                <w:right w:val="none" w:sz="0" w:space="0" w:color="auto"/>
                              </w:divBdr>
                              <w:divsChild>
                                <w:div w:id="1304196870">
                                  <w:marLeft w:val="0"/>
                                  <w:marRight w:val="0"/>
                                  <w:marTop w:val="0"/>
                                  <w:marBottom w:val="0"/>
                                  <w:divBdr>
                                    <w:top w:val="none" w:sz="0" w:space="0" w:color="auto"/>
                                    <w:left w:val="none" w:sz="0" w:space="0" w:color="auto"/>
                                    <w:bottom w:val="none" w:sz="0" w:space="0" w:color="auto"/>
                                    <w:right w:val="none" w:sz="0" w:space="0" w:color="auto"/>
                                  </w:divBdr>
                                  <w:divsChild>
                                    <w:div w:id="363747469">
                                      <w:marLeft w:val="0"/>
                                      <w:marRight w:val="0"/>
                                      <w:marTop w:val="0"/>
                                      <w:marBottom w:val="0"/>
                                      <w:divBdr>
                                        <w:top w:val="none" w:sz="0" w:space="0" w:color="auto"/>
                                        <w:left w:val="none" w:sz="0" w:space="0" w:color="auto"/>
                                        <w:bottom w:val="none" w:sz="0" w:space="0" w:color="auto"/>
                                        <w:right w:val="none" w:sz="0" w:space="0" w:color="auto"/>
                                      </w:divBdr>
                                      <w:divsChild>
                                        <w:div w:id="927814872">
                                          <w:marLeft w:val="0"/>
                                          <w:marRight w:val="0"/>
                                          <w:marTop w:val="0"/>
                                          <w:marBottom w:val="0"/>
                                          <w:divBdr>
                                            <w:top w:val="none" w:sz="0" w:space="0" w:color="auto"/>
                                            <w:left w:val="none" w:sz="0" w:space="0" w:color="auto"/>
                                            <w:bottom w:val="none" w:sz="0" w:space="0" w:color="auto"/>
                                            <w:right w:val="none" w:sz="0" w:space="0" w:color="auto"/>
                                          </w:divBdr>
                                          <w:divsChild>
                                            <w:div w:id="455565280">
                                              <w:marLeft w:val="0"/>
                                              <w:marRight w:val="0"/>
                                              <w:marTop w:val="0"/>
                                              <w:marBottom w:val="0"/>
                                              <w:divBdr>
                                                <w:top w:val="none" w:sz="0" w:space="0" w:color="auto"/>
                                                <w:left w:val="none" w:sz="0" w:space="0" w:color="auto"/>
                                                <w:bottom w:val="none" w:sz="0" w:space="0" w:color="auto"/>
                                                <w:right w:val="none" w:sz="0" w:space="0" w:color="auto"/>
                                              </w:divBdr>
                                              <w:divsChild>
                                                <w:div w:id="9459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2969</Words>
  <Characters>16331</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Souheila B</cp:lastModifiedBy>
  <cp:revision>2</cp:revision>
  <dcterms:created xsi:type="dcterms:W3CDTF">2026-05-17T11:50:00Z</dcterms:created>
  <dcterms:modified xsi:type="dcterms:W3CDTF">2026-05-17T11:50:00Z</dcterms:modified>
</cp:coreProperties>
</file>