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067" w:rsidRPr="001E6067" w:rsidRDefault="001E6067" w:rsidP="001E6067">
      <w:pPr>
        <w:rPr>
          <w:b/>
          <w:bCs/>
        </w:rPr>
      </w:pPr>
      <w:r>
        <w:rPr>
          <w:b/>
          <w:bCs/>
        </w:rPr>
        <w:t>Cours7</w:t>
      </w:r>
    </w:p>
    <w:p w:rsidR="001E6067" w:rsidRPr="001E6067" w:rsidRDefault="001E6067" w:rsidP="001E6067">
      <w:r w:rsidRPr="001E6067">
        <w:t>Culture, pouvoir et domination symbolique dans les sociétés contemporaines**</w:t>
      </w:r>
    </w:p>
    <w:p w:rsidR="001E6067" w:rsidRPr="001E6067" w:rsidRDefault="001E6067" w:rsidP="001E6067">
      <w:r w:rsidRPr="001E6067">
        <w:pict>
          <v:rect id="_x0000_i1025" style="width:0;height:1.5pt" o:hralign="center" o:hrstd="t" o:hr="t" fillcolor="#a0a0a0" stroked="f"/>
        </w:pict>
      </w:r>
    </w:p>
    <w:p w:rsidR="001E6067" w:rsidRPr="001E6067" w:rsidRDefault="001E6067" w:rsidP="001E6067">
      <w:pPr>
        <w:rPr>
          <w:b/>
          <w:bCs/>
        </w:rPr>
      </w:pPr>
      <w:r w:rsidRPr="001E6067">
        <w:rPr>
          <w:b/>
          <w:bCs/>
        </w:rPr>
        <w:t>1. Cadre général et enjeux de la séance</w:t>
      </w:r>
    </w:p>
    <w:p w:rsidR="001E6067" w:rsidRPr="001E6067" w:rsidRDefault="001E6067" w:rsidP="001E6067">
      <w:pPr>
        <w:rPr>
          <w:b/>
          <w:bCs/>
        </w:rPr>
      </w:pPr>
      <w:r w:rsidRPr="001E6067">
        <w:rPr>
          <w:b/>
          <w:bCs/>
        </w:rPr>
        <w:t>1.1. Positionnement dans le module</w:t>
      </w:r>
    </w:p>
    <w:p w:rsidR="001E6067" w:rsidRPr="001E6067" w:rsidRDefault="001E6067" w:rsidP="001E6067">
      <w:r w:rsidRPr="001E6067">
        <w:t>Cette séance s’inscrit dans la continuité des réflexions engagées depuis le début du semestre sur :</w:t>
      </w:r>
    </w:p>
    <w:p w:rsidR="001E6067" w:rsidRPr="001E6067" w:rsidRDefault="001E6067" w:rsidP="001E6067">
      <w:pPr>
        <w:numPr>
          <w:ilvl w:val="0"/>
          <w:numId w:val="1"/>
        </w:numPr>
      </w:pPr>
      <w:r w:rsidRPr="001E6067">
        <w:t>les processus de civilisation (Elias, Braudel),</w:t>
      </w:r>
    </w:p>
    <w:p w:rsidR="001E6067" w:rsidRPr="001E6067" w:rsidRDefault="001E6067" w:rsidP="001E6067">
      <w:pPr>
        <w:numPr>
          <w:ilvl w:val="0"/>
          <w:numId w:val="1"/>
        </w:numPr>
      </w:pPr>
      <w:r w:rsidRPr="001E6067">
        <w:t>la construction sociale des normes,</w:t>
      </w:r>
    </w:p>
    <w:p w:rsidR="001E6067" w:rsidRPr="001E6067" w:rsidRDefault="001E6067" w:rsidP="001E6067">
      <w:pPr>
        <w:numPr>
          <w:ilvl w:val="0"/>
          <w:numId w:val="1"/>
        </w:numPr>
      </w:pPr>
      <w:r w:rsidRPr="001E6067">
        <w:t>la formation des identités,</w:t>
      </w:r>
    </w:p>
    <w:p w:rsidR="001E6067" w:rsidRPr="001E6067" w:rsidRDefault="001E6067" w:rsidP="001E6067">
      <w:pPr>
        <w:numPr>
          <w:ilvl w:val="0"/>
          <w:numId w:val="1"/>
        </w:numPr>
      </w:pPr>
      <w:r w:rsidRPr="001E6067">
        <w:t>les dynamiques interculturelles.</w:t>
      </w:r>
    </w:p>
    <w:p w:rsidR="001E6067" w:rsidRPr="001E6067" w:rsidRDefault="001E6067" w:rsidP="001E6067">
      <w:r w:rsidRPr="001E6067">
        <w:t xml:space="preserve">Elle vise à montrer que </w:t>
      </w:r>
      <w:r w:rsidRPr="001E6067">
        <w:rPr>
          <w:b/>
          <w:bCs/>
        </w:rPr>
        <w:t>la culture n’est jamais neutre</w:t>
      </w:r>
      <w:r w:rsidRPr="001E6067">
        <w:t>, mais qu’elle est toujours traversée par des rapports de force.</w:t>
      </w:r>
    </w:p>
    <w:p w:rsidR="001E6067" w:rsidRPr="001E6067" w:rsidRDefault="001E6067" w:rsidP="001E6067">
      <w:r w:rsidRPr="001E6067">
        <w:t>Comme le souligne Michel Foucault :</w:t>
      </w:r>
    </w:p>
    <w:p w:rsidR="001E6067" w:rsidRPr="001E6067" w:rsidRDefault="001E6067" w:rsidP="001E6067">
      <w:r w:rsidRPr="001E6067">
        <w:t>« Le pouvoir est partout ; ce n’est pas qu’il englobe tout, c’est qu’il vient de partout »</w:t>
      </w:r>
      <w:r w:rsidRPr="001E6067">
        <w:br/>
        <w:t>(Foucault, 1976).</w:t>
      </w:r>
    </w:p>
    <w:p w:rsidR="001E6067" w:rsidRPr="001E6067" w:rsidRDefault="001E6067" w:rsidP="001E6067">
      <w:r w:rsidRPr="001E6067">
        <w:t>La culture constitue l’un des principaux lieux d’exercice de ce pouvoir.</w:t>
      </w:r>
    </w:p>
    <w:p w:rsidR="001E6067" w:rsidRPr="001E6067" w:rsidRDefault="001E6067" w:rsidP="001E6067">
      <w:r w:rsidRPr="001E6067">
        <w:pict>
          <v:rect id="_x0000_i1026" style="width:0;height:1.5pt" o:hralign="center" o:hrstd="t" o:hr="t" fillcolor="#a0a0a0" stroked="f"/>
        </w:pict>
      </w:r>
    </w:p>
    <w:p w:rsidR="001E6067" w:rsidRPr="001E6067" w:rsidRDefault="001E6067" w:rsidP="001E6067">
      <w:pPr>
        <w:rPr>
          <w:b/>
          <w:bCs/>
        </w:rPr>
      </w:pPr>
      <w:r w:rsidRPr="001E6067">
        <w:rPr>
          <w:b/>
          <w:bCs/>
        </w:rPr>
        <w:t>1.2. Problématique de la séance</w:t>
      </w:r>
    </w:p>
    <w:p w:rsidR="001E6067" w:rsidRPr="001E6067" w:rsidRDefault="001E6067" w:rsidP="001E6067">
      <w:r w:rsidRPr="001E6067">
        <w:t>On peut formuler la problématique centrale ainsi :</w:t>
      </w:r>
    </w:p>
    <w:p w:rsidR="001E6067" w:rsidRPr="001E6067" w:rsidRDefault="001E6067" w:rsidP="001E6067">
      <w:r w:rsidRPr="001E6067">
        <w:t>Comment la culture participe-t-elle à la reproduction des hiérarchies sociales, tout en constituant un espace de résistance et de transformation ?</w:t>
      </w:r>
    </w:p>
    <w:p w:rsidR="001E6067" w:rsidRPr="001E6067" w:rsidRDefault="001E6067" w:rsidP="001E6067">
      <w:r w:rsidRPr="001E6067">
        <w:t>Cette problématique invite à dépasser une vision folklorique ou patrimoniale de la culture.</w:t>
      </w:r>
    </w:p>
    <w:p w:rsidR="001E6067" w:rsidRPr="001E6067" w:rsidRDefault="001E6067" w:rsidP="001E6067">
      <w:r w:rsidRPr="001E6067">
        <w:pict>
          <v:rect id="_x0000_i1027" style="width:0;height:1.5pt" o:hralign="center" o:hrstd="t" o:hr="t" fillcolor="#a0a0a0" stroked="f"/>
        </w:pict>
      </w:r>
    </w:p>
    <w:p w:rsidR="001E6067" w:rsidRPr="001E6067" w:rsidRDefault="001E6067" w:rsidP="001E6067">
      <w:pPr>
        <w:rPr>
          <w:b/>
          <w:bCs/>
        </w:rPr>
      </w:pPr>
      <w:r w:rsidRPr="001E6067">
        <w:rPr>
          <w:b/>
          <w:bCs/>
        </w:rPr>
        <w:t>2. Culture et légitimation sociale : l’apport de Pierre Bourdieu</w:t>
      </w:r>
    </w:p>
    <w:p w:rsidR="001E6067" w:rsidRPr="001E6067" w:rsidRDefault="001E6067" w:rsidP="001E6067">
      <w:r w:rsidRPr="001E6067">
        <w:pict>
          <v:rect id="_x0000_i1028" style="width:0;height:1.5pt" o:hralign="center" o:hrstd="t" o:hr="t" fillcolor="#a0a0a0" stroked="f"/>
        </w:pict>
      </w:r>
    </w:p>
    <w:p w:rsidR="001E6067" w:rsidRPr="001E6067" w:rsidRDefault="001E6067" w:rsidP="001E6067">
      <w:pPr>
        <w:rPr>
          <w:b/>
          <w:bCs/>
        </w:rPr>
      </w:pPr>
      <w:r w:rsidRPr="001E6067">
        <w:rPr>
          <w:b/>
          <w:bCs/>
        </w:rPr>
        <w:t>2.1. Culture et hiérarchisation sociale</w:t>
      </w:r>
    </w:p>
    <w:p w:rsidR="001E6067" w:rsidRPr="001E6067" w:rsidRDefault="001E6067" w:rsidP="001E6067">
      <w:r w:rsidRPr="001E6067">
        <w:t>Pour Bourdieu, les sociétés modernes fonctionnent sur un principe de différenciation culturelle.</w:t>
      </w:r>
    </w:p>
    <w:p w:rsidR="001E6067" w:rsidRPr="001E6067" w:rsidRDefault="001E6067" w:rsidP="001E6067">
      <w:r w:rsidRPr="001E6067">
        <w:t>Il affirme :</w:t>
      </w:r>
    </w:p>
    <w:p w:rsidR="001E6067" w:rsidRPr="001E6067" w:rsidRDefault="001E6067" w:rsidP="001E6067">
      <w:r w:rsidRPr="001E6067">
        <w:t>« Les goûts classent, et ils classent celui qui classe »</w:t>
      </w:r>
      <w:r w:rsidRPr="001E6067">
        <w:br/>
        <w:t>(Bourdieu, 1979).</w:t>
      </w:r>
    </w:p>
    <w:p w:rsidR="001E6067" w:rsidRPr="001E6067" w:rsidRDefault="001E6067" w:rsidP="001E6067">
      <w:r w:rsidRPr="001E6067">
        <w:t>Les préférences culturelles deviennent des marqueurs sociaux.</w:t>
      </w:r>
    </w:p>
    <w:p w:rsidR="001E6067" w:rsidRPr="001E6067" w:rsidRDefault="001E6067" w:rsidP="001E6067">
      <w:r w:rsidRPr="001E6067">
        <w:t>Exemples :</w:t>
      </w:r>
    </w:p>
    <w:p w:rsidR="001E6067" w:rsidRPr="001E6067" w:rsidRDefault="001E6067" w:rsidP="001E6067">
      <w:pPr>
        <w:numPr>
          <w:ilvl w:val="0"/>
          <w:numId w:val="2"/>
        </w:numPr>
      </w:pPr>
      <w:r w:rsidRPr="001E6067">
        <w:lastRenderedPageBreak/>
        <w:t>musique classique vs musique populaire,</w:t>
      </w:r>
    </w:p>
    <w:p w:rsidR="001E6067" w:rsidRPr="001E6067" w:rsidRDefault="001E6067" w:rsidP="001E6067">
      <w:pPr>
        <w:numPr>
          <w:ilvl w:val="0"/>
          <w:numId w:val="2"/>
        </w:numPr>
      </w:pPr>
      <w:r w:rsidRPr="001E6067">
        <w:t>littérature « savante » vs littérature de masse,</w:t>
      </w:r>
    </w:p>
    <w:p w:rsidR="001E6067" w:rsidRPr="001E6067" w:rsidRDefault="001E6067" w:rsidP="001E6067">
      <w:pPr>
        <w:numPr>
          <w:ilvl w:val="0"/>
          <w:numId w:val="2"/>
        </w:numPr>
      </w:pPr>
      <w:r w:rsidRPr="001E6067">
        <w:t>langue standard vs langue vernaculaire.</w:t>
      </w:r>
    </w:p>
    <w:p w:rsidR="001E6067" w:rsidRPr="001E6067" w:rsidRDefault="001E6067" w:rsidP="001E6067">
      <w:r w:rsidRPr="001E6067">
        <w:pict>
          <v:rect id="_x0000_i1029" style="width:0;height:1.5pt" o:hralign="center" o:hrstd="t" o:hr="t" fillcolor="#a0a0a0" stroked="f"/>
        </w:pict>
      </w:r>
    </w:p>
    <w:p w:rsidR="001E6067" w:rsidRPr="001E6067" w:rsidRDefault="001E6067" w:rsidP="001E6067">
      <w:pPr>
        <w:rPr>
          <w:b/>
          <w:bCs/>
        </w:rPr>
      </w:pPr>
      <w:r w:rsidRPr="001E6067">
        <w:rPr>
          <w:b/>
          <w:bCs/>
        </w:rPr>
        <w:t>2.2. L’habitus et la naturalisation des inégalités</w:t>
      </w:r>
    </w:p>
    <w:p w:rsidR="001E6067" w:rsidRDefault="001E6067" w:rsidP="001E6067">
      <w:r w:rsidRPr="001E6067">
        <w:t>L’habitus est intériorisé dès l’enfance :</w:t>
      </w:r>
    </w:p>
    <w:p w:rsidR="00622334" w:rsidRPr="00622334" w:rsidRDefault="00622334" w:rsidP="00622334">
      <w:r w:rsidRPr="00622334">
        <w:t>L’habitus, selon Pierre Bourdieu, désigne un système de dispositions incorporées dès l’enfance, façonnées par les conditions sociales d’existence, qui naturalise les inégalités en les rendant imperceptibles. Ces dispositions orientent durablement les pratiques et perceptions sans conscience explicite, reproduisant l’ordre social par un ajustement spontané entre structures objectives et subjectives.</w:t>
      </w:r>
    </w:p>
    <w:p w:rsidR="00622334" w:rsidRPr="00622334" w:rsidRDefault="00622334" w:rsidP="00622334">
      <w:pPr>
        <w:rPr>
          <w:b/>
          <w:bCs/>
        </w:rPr>
      </w:pPr>
      <w:r w:rsidRPr="00622334">
        <w:rPr>
          <w:b/>
          <w:bCs/>
        </w:rPr>
        <w:t>Intériorisation précoce</w:t>
      </w:r>
    </w:p>
    <w:p w:rsidR="00622334" w:rsidRPr="00622334" w:rsidRDefault="00622334" w:rsidP="00622334">
      <w:r w:rsidRPr="00622334">
        <w:t>Dès l’enfance, l’habitus s’enracine via la socialisation primaire (famille, milieu) et secondaire (école), transformant les structures sociales en schémas corporels et mentaux durables. Il opère comme un « social fait corps », où les expériences précoces modèlent des propensions automatiques, rendant les hiérarchies familières et légitimes.</w:t>
      </w:r>
    </w:p>
    <w:p w:rsidR="00622334" w:rsidRPr="00622334" w:rsidRDefault="00622334" w:rsidP="00622334">
      <w:pPr>
        <w:rPr>
          <w:b/>
          <w:bCs/>
        </w:rPr>
      </w:pPr>
      <w:r w:rsidRPr="00622334">
        <w:rPr>
          <w:b/>
          <w:bCs/>
        </w:rPr>
        <w:t>Rapport à la parole</w:t>
      </w:r>
    </w:p>
    <w:p w:rsidR="00622334" w:rsidRPr="00622334" w:rsidRDefault="00622334" w:rsidP="00622334">
      <w:r w:rsidRPr="00622334">
        <w:t>L’habitus linguistique détermine le volume et le style de la parole : les dominants maîtrisent un discours élaboré, fluide et autoritaire, tandis que les dominés adoptent une expression parcimonieuse ou dialectale, perçue comme déficiente. Cette inégalité verbale, intériorisée tôt, masque la violence symbolique des privilèges culturels.</w:t>
      </w:r>
    </w:p>
    <w:p w:rsidR="00622334" w:rsidRPr="00622334" w:rsidRDefault="00622334" w:rsidP="00622334">
      <w:pPr>
        <w:rPr>
          <w:b/>
          <w:bCs/>
        </w:rPr>
      </w:pPr>
      <w:r w:rsidRPr="00622334">
        <w:rPr>
          <w:b/>
          <w:bCs/>
        </w:rPr>
        <w:t>Posture corporelle</w:t>
      </w:r>
    </w:p>
    <w:p w:rsidR="00622334" w:rsidRPr="00622334" w:rsidRDefault="00622334" w:rsidP="00622334">
      <w:r w:rsidRPr="00622334">
        <w:t>Les postures et gestes révèlent l’habitus : assurance érigée des élites versus crispation ou résignation des classes populaires, acquise par mimétisme familial et scolaire. Ces marques corporelles, naturelles en apparence, signalent tacitement la position sociale et perpétuent l’exclusion par des jugements implicites.</w:t>
      </w:r>
    </w:p>
    <w:p w:rsidR="00622334" w:rsidRPr="00622334" w:rsidRDefault="00622334" w:rsidP="00622334">
      <w:pPr>
        <w:rPr>
          <w:b/>
          <w:bCs/>
        </w:rPr>
      </w:pPr>
      <w:r w:rsidRPr="00622334">
        <w:rPr>
          <w:b/>
          <w:bCs/>
        </w:rPr>
        <w:t>Rapport à l’autorité</w:t>
      </w:r>
    </w:p>
    <w:p w:rsidR="00622334" w:rsidRPr="00622334" w:rsidRDefault="00622334" w:rsidP="00622334">
      <w:r w:rsidRPr="00622334">
        <w:t>L’habitus façonne la docilité ou la défiance envers l’autorité : soumission confiante chez les héritiers culturels, méfiance anxieuse chez les autres, issue d’expériences précoces d’interaction avec les institutions. Cela naturalise les hiérarchies en les incarnant dans des réactions viscérales.</w:t>
      </w:r>
    </w:p>
    <w:p w:rsidR="00622334" w:rsidRPr="00622334" w:rsidRDefault="00622334" w:rsidP="00622334">
      <w:pPr>
        <w:rPr>
          <w:b/>
          <w:bCs/>
        </w:rPr>
      </w:pPr>
      <w:r w:rsidRPr="00622334">
        <w:rPr>
          <w:b/>
          <w:bCs/>
        </w:rPr>
        <w:t>Relation au savoir</w:t>
      </w:r>
    </w:p>
    <w:p w:rsidR="00622334" w:rsidRPr="00622334" w:rsidRDefault="00622334" w:rsidP="00622334">
      <w:r w:rsidRPr="00622334">
        <w:t>Enfin, l’habitus cognitif distingue le rapport académique aisé des dominants (savoir comme évidence) de l’approche laborieuse des défavorisés (savoir comme contrainte). L’école, espace de reproduction, valide ces dispositions en sanctionnant les écarts, transformant les inégalités en mérites individuels</w:t>
      </w:r>
    </w:p>
    <w:p w:rsidR="00622334" w:rsidRPr="001E6067" w:rsidRDefault="00622334" w:rsidP="001E6067"/>
    <w:p w:rsidR="001E6067" w:rsidRPr="001E6067" w:rsidRDefault="001E6067" w:rsidP="001E6067">
      <w:r w:rsidRPr="001E6067">
        <w:t>Ces dispositions semblent « naturelles », alors qu’elles sont socialement construites.</w:t>
      </w:r>
    </w:p>
    <w:p w:rsidR="001E6067" w:rsidRPr="001E6067" w:rsidRDefault="001E6067" w:rsidP="001E6067">
      <w:r w:rsidRPr="001E6067">
        <w:t>Bourdieu écrit :</w:t>
      </w:r>
    </w:p>
    <w:p w:rsidR="001E6067" w:rsidRPr="001E6067" w:rsidRDefault="001E6067" w:rsidP="001E6067">
      <w:r w:rsidRPr="001E6067">
        <w:lastRenderedPageBreak/>
        <w:t>« Les structures sociales deviennent des structures mentales »</w:t>
      </w:r>
      <w:r w:rsidRPr="001E6067">
        <w:br/>
        <w:t>(Bourdieu, 1980).</w:t>
      </w:r>
    </w:p>
    <w:p w:rsidR="001E6067" w:rsidRPr="001E6067" w:rsidRDefault="001E6067" w:rsidP="001E6067">
      <w:r w:rsidRPr="001E6067">
        <w:pict>
          <v:rect id="_x0000_i1030" style="width:0;height:1.5pt" o:hralign="center" o:hrstd="t" o:hr="t" fillcolor="#a0a0a0" stroked="f"/>
        </w:pict>
      </w:r>
    </w:p>
    <w:p w:rsidR="001E6067" w:rsidRPr="001E6067" w:rsidRDefault="001E6067" w:rsidP="001E6067">
      <w:pPr>
        <w:rPr>
          <w:b/>
          <w:bCs/>
        </w:rPr>
      </w:pPr>
      <w:r w:rsidRPr="001E6067">
        <w:rPr>
          <w:b/>
          <w:bCs/>
        </w:rPr>
        <w:t>2.3. Violence symbolique et consentement</w:t>
      </w:r>
    </w:p>
    <w:p w:rsidR="001E6067" w:rsidRPr="001E6067" w:rsidRDefault="001E6067" w:rsidP="001E6067">
      <w:r w:rsidRPr="001E6067">
        <w:t>La domination fonctionne parce que les dominés y consentent.</w:t>
      </w:r>
    </w:p>
    <w:p w:rsidR="001E6067" w:rsidRPr="001E6067" w:rsidRDefault="001E6067" w:rsidP="001E6067">
      <w:r w:rsidRPr="001E6067">
        <w:t>« La violence symbolique s’exerce avec la complicité tacite de ceux qui la subissent »</w:t>
      </w:r>
      <w:r w:rsidRPr="001E6067">
        <w:br/>
        <w:t>(Bourdieu, 1998).</w:t>
      </w:r>
    </w:p>
    <w:p w:rsidR="001E6067" w:rsidRPr="001E6067" w:rsidRDefault="001E6067" w:rsidP="001E6067">
      <w:r w:rsidRPr="001E6067">
        <w:t>Exemple scolaire :</w:t>
      </w:r>
    </w:p>
    <w:p w:rsidR="001E6067" w:rsidRPr="001E6067" w:rsidRDefault="001E6067" w:rsidP="001E6067">
      <w:pPr>
        <w:numPr>
          <w:ilvl w:val="0"/>
          <w:numId w:val="4"/>
        </w:numPr>
      </w:pPr>
      <w:r w:rsidRPr="001E6067">
        <w:t>accepter un échec comme un manque personnel,</w:t>
      </w:r>
    </w:p>
    <w:p w:rsidR="001E6067" w:rsidRDefault="001E6067" w:rsidP="001E6067">
      <w:pPr>
        <w:numPr>
          <w:ilvl w:val="0"/>
          <w:numId w:val="4"/>
        </w:numPr>
      </w:pPr>
      <w:r w:rsidRPr="001E6067">
        <w:t>intérioriser l’idée de ne pas être « fait pour les études ».</w:t>
      </w:r>
    </w:p>
    <w:p w:rsidR="00622334" w:rsidRPr="00622334" w:rsidRDefault="00622334" w:rsidP="00622334">
      <w:pPr>
        <w:ind w:left="720"/>
      </w:pPr>
      <w:r>
        <w:t xml:space="preserve">  </w:t>
      </w:r>
      <w:r w:rsidRPr="00622334">
        <w:t>La violence symbolique, selon Pierre Bourdieu (1998), désigne une domination douce, imperceptible, exercée par les structures sociales et reconnue comme légitime par les dominés eux-mêmes, qui y consentent tacitement par leur habitus incorporé. Cette « complicité » des victimes assure la perpétuation des inégalités sans recours à la coercition physique, transformant la violence en évidence naturelle.</w:t>
      </w:r>
    </w:p>
    <w:p w:rsidR="00622334" w:rsidRPr="00622334" w:rsidRDefault="00622334" w:rsidP="00622334">
      <w:pPr>
        <w:ind w:left="720"/>
        <w:rPr>
          <w:b/>
          <w:bCs/>
        </w:rPr>
      </w:pPr>
      <w:r w:rsidRPr="00622334">
        <w:rPr>
          <w:b/>
          <w:bCs/>
        </w:rPr>
        <w:t>Mécanisme du consentement</w:t>
      </w:r>
    </w:p>
    <w:p w:rsidR="00622334" w:rsidRPr="00622334" w:rsidRDefault="00622334" w:rsidP="00622334">
      <w:pPr>
        <w:ind w:left="720"/>
      </w:pPr>
      <w:r w:rsidRPr="00622334">
        <w:t>La domination fonctionne précisément parce que les dominés l’ intériorisent comme juste : « La violence symbolique s’exerce avec la complicité tacite de ceux qui la subissent » (Bourdieu, 1998, p. 55). Via l’habitus, les normes des dominants (langue, codes culturels) deviennent des schémas de pensée automatiques, générant un « méconnaître pratique » qui masque l’arbitraire du pouvoir. Ce consentement involontaire reproduit l’ordre social en le rendant inévitable.</w:t>
      </w:r>
    </w:p>
    <w:p w:rsidR="00622334" w:rsidRPr="00622334" w:rsidRDefault="00622334" w:rsidP="00622334">
      <w:pPr>
        <w:ind w:left="720"/>
        <w:rPr>
          <w:b/>
          <w:bCs/>
        </w:rPr>
      </w:pPr>
      <w:r w:rsidRPr="00622334">
        <w:rPr>
          <w:b/>
          <w:bCs/>
        </w:rPr>
        <w:t>Exemple scolaire</w:t>
      </w:r>
    </w:p>
    <w:p w:rsidR="00622334" w:rsidRPr="00622334" w:rsidRDefault="00622334" w:rsidP="00622334">
      <w:pPr>
        <w:ind w:left="720"/>
      </w:pPr>
      <w:r w:rsidRPr="00622334">
        <w:t>Dans l’école, un élève de milieu populaire acceptant un redoublement comme « manque personnel » incarne cette violence : il attribue son échec à un défaut inné (« je ne suis pas fait pour les études ») plutôt qu’à un système favorisant les héritiers culturels. Cette intériorisation culpabilisante légitime les sanctions scolaires, perpétuant la reproduction des inégalités par auto-exclusion. Ainsi, l’institution apparaît neutre tandis que la hiérarchie sociale se naturalise.</w:t>
      </w:r>
    </w:p>
    <w:p w:rsidR="00622334" w:rsidRDefault="00622334" w:rsidP="00622334">
      <w:pPr>
        <w:ind w:left="720"/>
      </w:pPr>
    </w:p>
    <w:p w:rsidR="00622334" w:rsidRPr="001E6067" w:rsidRDefault="00622334" w:rsidP="00622334">
      <w:pPr>
        <w:ind w:left="720"/>
      </w:pPr>
    </w:p>
    <w:p w:rsidR="001E6067" w:rsidRPr="001E6067" w:rsidRDefault="001E6067" w:rsidP="001E6067">
      <w:r w:rsidRPr="001E6067">
        <w:pict>
          <v:rect id="_x0000_i1031" style="width:0;height:1.5pt" o:hralign="center" o:hrstd="t" o:hr="t" fillcolor="#a0a0a0" stroked="f"/>
        </w:pict>
      </w:r>
    </w:p>
    <w:p w:rsidR="001E6067" w:rsidRPr="001E6067" w:rsidRDefault="001E6067" w:rsidP="001E6067">
      <w:pPr>
        <w:rPr>
          <w:b/>
          <w:bCs/>
        </w:rPr>
      </w:pPr>
      <w:r w:rsidRPr="001E6067">
        <w:rPr>
          <w:b/>
          <w:bCs/>
        </w:rPr>
        <w:t>3. Culture, discours et altérité : Edward Said</w:t>
      </w:r>
    </w:p>
    <w:p w:rsidR="001E6067" w:rsidRPr="001E6067" w:rsidRDefault="001E6067" w:rsidP="001E6067">
      <w:r w:rsidRPr="001E6067">
        <w:pict>
          <v:rect id="_x0000_i1032" style="width:0;height:1.5pt" o:hralign="center" o:hrstd="t" o:hr="t" fillcolor="#a0a0a0" stroked="f"/>
        </w:pict>
      </w:r>
    </w:p>
    <w:p w:rsidR="001E6067" w:rsidRPr="001E6067" w:rsidRDefault="001E6067" w:rsidP="001E6067">
      <w:pPr>
        <w:rPr>
          <w:b/>
          <w:bCs/>
        </w:rPr>
      </w:pPr>
      <w:r w:rsidRPr="001E6067">
        <w:rPr>
          <w:b/>
          <w:bCs/>
        </w:rPr>
        <w:t>3.1. L’orientalisme comme système de savoir</w:t>
      </w:r>
    </w:p>
    <w:p w:rsidR="001E6067" w:rsidRPr="001E6067" w:rsidRDefault="001E6067" w:rsidP="001E6067">
      <w:r w:rsidRPr="001E6067">
        <w:t>Said montre que l’Occident a produit un savoir sur l’Orient qui n’est pas neutre.</w:t>
      </w:r>
    </w:p>
    <w:p w:rsidR="001E6067" w:rsidRPr="001E6067" w:rsidRDefault="001E6067" w:rsidP="001E6067">
      <w:r w:rsidRPr="001E6067">
        <w:lastRenderedPageBreak/>
        <w:t>« Savoir et pouvoir sont inséparables »</w:t>
      </w:r>
      <w:r w:rsidRPr="001E6067">
        <w:br/>
        <w:t>(Said, 1978).</w:t>
      </w:r>
    </w:p>
    <w:p w:rsidR="001E6067" w:rsidRPr="001E6067" w:rsidRDefault="001E6067" w:rsidP="001E6067">
      <w:r w:rsidRPr="001E6067">
        <w:t>Les représentations savantes, littéraires et médiatiques construisent un imaginaire collectif.</w:t>
      </w:r>
    </w:p>
    <w:p w:rsidR="001E6067" w:rsidRPr="001E6067" w:rsidRDefault="001E6067" w:rsidP="001E6067">
      <w:r w:rsidRPr="001E6067">
        <w:pict>
          <v:rect id="_x0000_i1033" style="width:0;height:1.5pt" o:hralign="center" o:hrstd="t" o:hr="t" fillcolor="#a0a0a0" stroked="f"/>
        </w:pict>
      </w:r>
    </w:p>
    <w:p w:rsidR="001E6067" w:rsidRPr="001E6067" w:rsidRDefault="001E6067" w:rsidP="001E6067">
      <w:pPr>
        <w:rPr>
          <w:b/>
          <w:bCs/>
        </w:rPr>
      </w:pPr>
      <w:r w:rsidRPr="001E6067">
        <w:rPr>
          <w:b/>
          <w:bCs/>
        </w:rPr>
        <w:t>3.2. L’Autre comme objet de discours</w:t>
      </w:r>
    </w:p>
    <w:p w:rsidR="001E6067" w:rsidRPr="001E6067" w:rsidRDefault="001E6067" w:rsidP="001E6067">
      <w:r w:rsidRPr="001E6067">
        <w:t>L’Orient est souvent décrit comme :</w:t>
      </w:r>
    </w:p>
    <w:p w:rsidR="001E6067" w:rsidRPr="001E6067" w:rsidRDefault="001E6067" w:rsidP="001E6067">
      <w:pPr>
        <w:numPr>
          <w:ilvl w:val="0"/>
          <w:numId w:val="5"/>
        </w:numPr>
      </w:pPr>
      <w:r w:rsidRPr="001E6067">
        <w:t>irrationnel,</w:t>
      </w:r>
    </w:p>
    <w:p w:rsidR="001E6067" w:rsidRPr="001E6067" w:rsidRDefault="001E6067" w:rsidP="001E6067">
      <w:pPr>
        <w:numPr>
          <w:ilvl w:val="0"/>
          <w:numId w:val="5"/>
        </w:numPr>
      </w:pPr>
      <w:r w:rsidRPr="001E6067">
        <w:t>sensuel,</w:t>
      </w:r>
    </w:p>
    <w:p w:rsidR="001E6067" w:rsidRPr="001E6067" w:rsidRDefault="001E6067" w:rsidP="001E6067">
      <w:pPr>
        <w:numPr>
          <w:ilvl w:val="0"/>
          <w:numId w:val="5"/>
        </w:numPr>
      </w:pPr>
      <w:r w:rsidRPr="001E6067">
        <w:t>violent,</w:t>
      </w:r>
    </w:p>
    <w:p w:rsidR="001E6067" w:rsidRPr="001E6067" w:rsidRDefault="001E6067" w:rsidP="001E6067">
      <w:pPr>
        <w:numPr>
          <w:ilvl w:val="0"/>
          <w:numId w:val="5"/>
        </w:numPr>
      </w:pPr>
      <w:r w:rsidRPr="001E6067">
        <w:t>archaïque.</w:t>
      </w:r>
    </w:p>
    <w:p w:rsidR="001E6067" w:rsidRPr="001E6067" w:rsidRDefault="001E6067" w:rsidP="001E6067">
      <w:r w:rsidRPr="001E6067">
        <w:t>Ces catégories légitiment les rapports de domination.</w:t>
      </w:r>
    </w:p>
    <w:p w:rsidR="001E6067" w:rsidRPr="001E6067" w:rsidRDefault="001E6067" w:rsidP="001E6067">
      <w:r w:rsidRPr="001E6067">
        <w:pict>
          <v:rect id="_x0000_i1034" style="width:0;height:1.5pt" o:hralign="center" o:hrstd="t" o:hr="t" fillcolor="#a0a0a0" stroked="f"/>
        </w:pict>
      </w:r>
    </w:p>
    <w:p w:rsidR="001E6067" w:rsidRPr="001E6067" w:rsidRDefault="001E6067" w:rsidP="001E6067">
      <w:pPr>
        <w:rPr>
          <w:b/>
          <w:bCs/>
        </w:rPr>
      </w:pPr>
      <w:r w:rsidRPr="001E6067">
        <w:rPr>
          <w:b/>
          <w:bCs/>
        </w:rPr>
        <w:t>3.3. Actualisation contemporaine</w:t>
      </w:r>
    </w:p>
    <w:p w:rsidR="00764F8E" w:rsidRPr="00764F8E" w:rsidRDefault="00764F8E" w:rsidP="00764F8E">
      <w:r w:rsidRPr="00764F8E">
        <w:t>L’orientalisme, tel que théorisé par Edward Saïd, persiste aujourd’hui comme un système de pouvoir occidental qui construit l’« Autre » oriental (Arabe, musulman, maghrébin) en objet de discours essentialisant, justifiant domination et exclusion par des stéréotypes figés.</w:t>
      </w:r>
    </w:p>
    <w:p w:rsidR="00764F8E" w:rsidRPr="00764F8E" w:rsidRDefault="00764F8E" w:rsidP="00764F8E">
      <w:pPr>
        <w:rPr>
          <w:b/>
          <w:bCs/>
        </w:rPr>
      </w:pPr>
      <w:r w:rsidRPr="00764F8E">
        <w:rPr>
          <w:b/>
          <w:bCs/>
        </w:rPr>
        <w:t>Discours médiatiques post-11 Septembre</w:t>
      </w:r>
    </w:p>
    <w:p w:rsidR="00764F8E" w:rsidRPr="00764F8E" w:rsidRDefault="00764F8E" w:rsidP="00764F8E">
      <w:r w:rsidRPr="00764F8E">
        <w:t>Les médias occidentaux dépeignent systématiquement le Moyen-Orient comme terre de chaos terroriste ou despotisme atavique, naturalisant interventions militaires (Irak, Syrie) sous couvert de « libération » : l’Arabe devient l’« ennemi irrationnel », dont les dominés (populations locales) consentent tacitement à cette image par intériorisation.​</w:t>
      </w:r>
    </w:p>
    <w:p w:rsidR="00764F8E" w:rsidRPr="00764F8E" w:rsidRDefault="00764F8E" w:rsidP="00764F8E">
      <w:pPr>
        <w:rPr>
          <w:b/>
          <w:bCs/>
        </w:rPr>
      </w:pPr>
      <w:r w:rsidRPr="00764F8E">
        <w:rPr>
          <w:b/>
          <w:bCs/>
        </w:rPr>
        <w:t>Stéréotypes numériques et IA</w:t>
      </w:r>
    </w:p>
    <w:p w:rsidR="00764F8E" w:rsidRPr="00764F8E" w:rsidRDefault="00764F8E" w:rsidP="00764F8E">
      <w:r w:rsidRPr="00764F8E">
        <w:t>Sur les réseaux sociaux et algorithmes (TikTok, Google), l’« Autre » maghrébin est réduit à clichés (voile oppressif, violence inhérente), amplifiés par des contenus viraux qui structurent perceptions interculturelles, reproduisant violence symbolique bourdieusienne via un habitus numérique global.​</w:t>
      </w:r>
    </w:p>
    <w:p w:rsidR="00764F8E" w:rsidRPr="00764F8E" w:rsidRDefault="00764F8E" w:rsidP="00764F8E">
      <w:pPr>
        <w:rPr>
          <w:b/>
          <w:bCs/>
        </w:rPr>
      </w:pPr>
      <w:r w:rsidRPr="00764F8E">
        <w:rPr>
          <w:b/>
          <w:bCs/>
        </w:rPr>
        <w:t>Cinéma et séries contemporaines</w:t>
      </w:r>
    </w:p>
    <w:p w:rsidR="00764F8E" w:rsidRPr="00764F8E" w:rsidRDefault="00764F8E" w:rsidP="00764F8E">
      <w:r w:rsidRPr="00764F8E">
        <w:t>Des productions comme </w:t>
      </w:r>
      <w:r w:rsidRPr="00764F8E">
        <w:rPr>
          <w:i/>
          <w:iCs/>
        </w:rPr>
        <w:t>Dune</w:t>
      </w:r>
      <w:r w:rsidRPr="00764F8E">
        <w:t> (2021) ou </w:t>
      </w:r>
      <w:r w:rsidRPr="00764F8E">
        <w:rPr>
          <w:i/>
          <w:iCs/>
        </w:rPr>
        <w:t>The Crown</w:t>
      </w:r>
      <w:r w:rsidRPr="00764F8E">
        <w:t> essentialisent l’Orient en espace exotique/menaçant, où l’Arabe reste figuration anonyme ; en France, films comme </w:t>
      </w:r>
      <w:r w:rsidRPr="00764F8E">
        <w:rPr>
          <w:i/>
          <w:iCs/>
        </w:rPr>
        <w:t>Bac Nord</w:t>
      </w:r>
      <w:r w:rsidRPr="00764F8E">
        <w:t> (2021) renforcent le « banlieue-arabe = délinquance », influençant relations quotidiennes en essentialisant différences culturelles comme incompatibles. Ces actualisations maintiennent l’Occident en position de surplomb discursif.</w:t>
      </w:r>
    </w:p>
    <w:p w:rsidR="00764F8E" w:rsidRDefault="00764F8E" w:rsidP="001E6067"/>
    <w:p w:rsidR="001E6067" w:rsidRPr="001E6067" w:rsidRDefault="001E6067" w:rsidP="001E6067">
      <w:r w:rsidRPr="001E6067">
        <w:t>Aujourd’hui, ces mécanismes se retrouvent dans :</w:t>
      </w:r>
    </w:p>
    <w:p w:rsidR="001E6067" w:rsidRPr="001E6067" w:rsidRDefault="001E6067" w:rsidP="001E6067">
      <w:pPr>
        <w:numPr>
          <w:ilvl w:val="0"/>
          <w:numId w:val="6"/>
        </w:numPr>
      </w:pPr>
      <w:r w:rsidRPr="001E6067">
        <w:t>discours sécuritaires,</w:t>
      </w:r>
    </w:p>
    <w:p w:rsidR="001E6067" w:rsidRPr="001E6067" w:rsidRDefault="001E6067" w:rsidP="001E6067">
      <w:pPr>
        <w:numPr>
          <w:ilvl w:val="0"/>
          <w:numId w:val="6"/>
        </w:numPr>
      </w:pPr>
      <w:r w:rsidRPr="001E6067">
        <w:t>stéréotypes médiatiques,</w:t>
      </w:r>
    </w:p>
    <w:p w:rsidR="001E6067" w:rsidRPr="001E6067" w:rsidRDefault="001E6067" w:rsidP="001E6067">
      <w:pPr>
        <w:numPr>
          <w:ilvl w:val="0"/>
          <w:numId w:val="6"/>
        </w:numPr>
      </w:pPr>
      <w:r w:rsidRPr="001E6067">
        <w:lastRenderedPageBreak/>
        <w:t>productions cinématographiques.</w:t>
      </w:r>
    </w:p>
    <w:p w:rsidR="001E6067" w:rsidRPr="001E6067" w:rsidRDefault="001E6067" w:rsidP="001E6067">
      <w:r w:rsidRPr="001E6067">
        <w:t>Ils influencent les relations interculturelles.</w:t>
      </w:r>
    </w:p>
    <w:p w:rsidR="001E6067" w:rsidRPr="001E6067" w:rsidRDefault="001E6067" w:rsidP="001E6067">
      <w:r w:rsidRPr="001E6067">
        <w:pict>
          <v:rect id="_x0000_i1035" style="width:0;height:1.5pt" o:hralign="center" o:hrstd="t" o:hr="t" fillcolor="#a0a0a0" stroked="f"/>
        </w:pict>
      </w:r>
    </w:p>
    <w:p w:rsidR="001E6067" w:rsidRPr="001E6067" w:rsidRDefault="001E6067" w:rsidP="001E6067">
      <w:pPr>
        <w:rPr>
          <w:b/>
          <w:bCs/>
        </w:rPr>
      </w:pPr>
      <w:r w:rsidRPr="001E6067">
        <w:rPr>
          <w:b/>
          <w:bCs/>
        </w:rPr>
        <w:t>4. Hybridité, métissage et recomposition identitaire : Homi Bhabha</w:t>
      </w:r>
    </w:p>
    <w:p w:rsidR="001E6067" w:rsidRPr="001E6067" w:rsidRDefault="001E6067" w:rsidP="001E6067">
      <w:r w:rsidRPr="001E6067">
        <w:pict>
          <v:rect id="_x0000_i1036" style="width:0;height:1.5pt" o:hralign="center" o:hrstd="t" o:hr="t" fillcolor="#a0a0a0" stroked="f"/>
        </w:pict>
      </w:r>
    </w:p>
    <w:p w:rsidR="001E6067" w:rsidRPr="001E6067" w:rsidRDefault="001E6067" w:rsidP="001E6067">
      <w:pPr>
        <w:rPr>
          <w:b/>
          <w:bCs/>
        </w:rPr>
      </w:pPr>
      <w:r w:rsidRPr="001E6067">
        <w:rPr>
          <w:b/>
          <w:bCs/>
        </w:rPr>
        <w:t>4.1. Dépassement du modèle binaire</w:t>
      </w:r>
    </w:p>
    <w:p w:rsidR="007A4E80" w:rsidRPr="007A4E80" w:rsidRDefault="007A4E80" w:rsidP="007A4E80">
      <w:r w:rsidRPr="007A4E80">
        <w:t>Homi K. Bhabha critique l’opposition binaire héritée de l’orientalisme saïdien, où l’Occident se pose en surplomb rationnel face à un Orient essentialisé comme stagnant ou irrationnel. Cette binarité figée (Occident/Orient, Tradition/Modernité, Dominant/Dominé) masque les processus hybrides et ambivalents de la culture postcoloniale.</w:t>
      </w:r>
    </w:p>
    <w:p w:rsidR="007A4E80" w:rsidRPr="007A4E80" w:rsidRDefault="007A4E80" w:rsidP="007A4E80">
      <w:pPr>
        <w:rPr>
          <w:b/>
          <w:bCs/>
        </w:rPr>
      </w:pPr>
      <w:r w:rsidRPr="007A4E80">
        <w:rPr>
          <w:b/>
          <w:bCs/>
        </w:rPr>
        <w:t>Critique des binarités fixes</w:t>
      </w:r>
    </w:p>
    <w:p w:rsidR="007A4E80" w:rsidRPr="007A4E80" w:rsidRDefault="007A4E80" w:rsidP="007A4E80">
      <w:r w:rsidRPr="007A4E80">
        <w:t>Bhabha déconstruit ces dualismes comme des constructions discursives instables, incapables de saisir les négociations culturelles réelles : l’« Occident » n’est pas homogène, l’« Orient » n’est pas atemporel. L’opposition Tradition/Modernité ignore les syncrétismes contemporains, tandis que Dominant/Dominé occulte les résistances subtiles des subalternes.</w:t>
      </w:r>
    </w:p>
    <w:p w:rsidR="007A4E80" w:rsidRPr="007A4E80" w:rsidRDefault="007A4E80" w:rsidP="007A4E80">
      <w:pPr>
        <w:rPr>
          <w:b/>
          <w:bCs/>
        </w:rPr>
      </w:pPr>
      <w:r w:rsidRPr="007A4E80">
        <w:rPr>
          <w:b/>
          <w:bCs/>
        </w:rPr>
        <w:t>Vision dynamique : l’hybridité</w:t>
      </w:r>
    </w:p>
    <w:p w:rsidR="007A4E80" w:rsidRPr="007A4E80" w:rsidRDefault="007A4E80" w:rsidP="007A4E80">
      <w:r w:rsidRPr="007A4E80">
        <w:t>Il propose l’hybridité comme troisième espace, zone de négociation où les cultures migrantes produisent de nouvelles identités fluides – ni purement occidentales ni traditionnelles. Exemple : le migrant maghrébin en France incarne un « entre-deux » qui défie les catégories fixes par ses pratiques culturelles mixtes (langue hybride, cuisine fusionnée).</w:t>
      </w:r>
    </w:p>
    <w:p w:rsidR="007A4E80" w:rsidRPr="007A4E80" w:rsidRDefault="007A4E80" w:rsidP="007A4E80">
      <w:pPr>
        <w:rPr>
          <w:b/>
          <w:bCs/>
        </w:rPr>
      </w:pPr>
      <w:r w:rsidRPr="007A4E80">
        <w:rPr>
          <w:b/>
          <w:bCs/>
        </w:rPr>
        <w:t>Ambivalence et mimicry</w:t>
      </w:r>
    </w:p>
    <w:p w:rsidR="007A4E80" w:rsidRPr="007A4E80" w:rsidRDefault="007A4E80" w:rsidP="007A4E80">
      <w:r w:rsidRPr="007A4E80">
        <w:t>La mimicry – imitation partielle des normes dominantes par les colonisés – crée une menace pour le pouvoir : l’Autre devient « presque mais pas tout à fait » blanc, rendant visible le caractère construit des hiérarchies. Cette ambivalence fissure les binarités, ouvrant à des subjectivités dynamiques qui redéfinissent les relations interculturelles.</w:t>
      </w:r>
    </w:p>
    <w:p w:rsidR="007A4E80" w:rsidRPr="007A4E80" w:rsidRDefault="007A4E80" w:rsidP="007A4E80">
      <w:r w:rsidRPr="007A4E80">
        <w:t>développez le dernier point</w:t>
      </w:r>
    </w:p>
    <w:p w:rsidR="007A4E80" w:rsidRPr="007A4E80" w:rsidRDefault="007A4E80" w:rsidP="007A4E80">
      <w:r w:rsidRPr="007A4E80">
        <w:t>La mimicry et l’ambivalence constituent des concepts centraux chez Bhabha pour fissurer les binarités coloniales.</w:t>
      </w:r>
    </w:p>
    <w:p w:rsidR="007A4E80" w:rsidRPr="007A4E80" w:rsidRDefault="007A4E80" w:rsidP="007A4E80">
      <w:pPr>
        <w:rPr>
          <w:b/>
          <w:bCs/>
        </w:rPr>
      </w:pPr>
      <w:r w:rsidRPr="007A4E80">
        <w:rPr>
          <w:b/>
          <w:bCs/>
        </w:rPr>
        <w:t>Mécanisme de la mimicry</w:t>
      </w:r>
    </w:p>
    <w:p w:rsidR="007A4E80" w:rsidRPr="007A4E80" w:rsidRDefault="007A4E80" w:rsidP="007A4E80">
      <w:r w:rsidRPr="007A4E80">
        <w:t>La mimicry désigne l’imitation stratégique des normes dominantes par les colonisés : l’« Autre » adopte discours, vêtement ou comportements occidentaux, mais de manière partielle et ironique – « presque blanc, mais pas tout à fait ». Cette ressemblance imparfaite menace le pouvoir colonial, car elle révèle son arbitraire : l’infériorité n’est plus naturelle, mais construite.</w:t>
      </w:r>
    </w:p>
    <w:p w:rsidR="007A4E80" w:rsidRPr="007A4E80" w:rsidRDefault="007A4E80" w:rsidP="007A4E80">
      <w:pPr>
        <w:rPr>
          <w:b/>
          <w:bCs/>
        </w:rPr>
      </w:pPr>
      <w:r w:rsidRPr="007A4E80">
        <w:rPr>
          <w:b/>
          <w:bCs/>
        </w:rPr>
        <w:t>Ambivalence subversive</w:t>
      </w:r>
    </w:p>
    <w:p w:rsidR="007A4E80" w:rsidRPr="007A4E80" w:rsidRDefault="007A4E80" w:rsidP="007A4E80">
      <w:r w:rsidRPr="007A4E80">
        <w:t>Cette imitation génère une ambivalence productive : le colonisé devient à la fois ressemblant et menaçant, occupant un troisième espace qui échappe aux catégories fixes (dominant/dominé). Exemple : le beur en banlieue française parle français fluide avec accent, mélange rap et raï, défiant l’opposition Occident/Orient par une identité fluide qui ridiculise les stéréotypes.</w:t>
      </w:r>
    </w:p>
    <w:p w:rsidR="007A4E80" w:rsidRPr="007A4E80" w:rsidRDefault="007A4E80" w:rsidP="007A4E80">
      <w:pPr>
        <w:rPr>
          <w:b/>
          <w:bCs/>
        </w:rPr>
      </w:pPr>
      <w:r w:rsidRPr="007A4E80">
        <w:rPr>
          <w:b/>
          <w:bCs/>
        </w:rPr>
        <w:lastRenderedPageBreak/>
        <w:t>Enjeux interculturels contemporains</w:t>
      </w:r>
    </w:p>
    <w:p w:rsidR="007A4E80" w:rsidRPr="007A4E80" w:rsidRDefault="007A4E80" w:rsidP="007A4E80">
      <w:r w:rsidRPr="007A4E80">
        <w:t>Aujourd’hui, cette dynamique éclaire les diasporas maghrébines : la jeune génération hybride (voilée mais connectée, tradi-moderne) subvertit les discours orientalistes en rendant visibles les négociations culturelles quotidiennes. Ainsi, l’ambivalence bhabhaienne dynamise les relations, transformant l’Autre d’objet statique en sujet négociant.</w:t>
      </w:r>
    </w:p>
    <w:p w:rsidR="007A4E80" w:rsidRDefault="007A4E80" w:rsidP="001E6067">
      <w:bookmarkStart w:id="0" w:name="_GoBack"/>
      <w:bookmarkEnd w:id="0"/>
    </w:p>
    <w:p w:rsidR="001E6067" w:rsidRPr="001E6067" w:rsidRDefault="001E6067" w:rsidP="001E6067">
      <w:r w:rsidRPr="001E6067">
        <w:t>Bhabha critique l’opposition rigide :</w:t>
      </w:r>
    </w:p>
    <w:p w:rsidR="001E6067" w:rsidRPr="001E6067" w:rsidRDefault="001E6067" w:rsidP="001E6067">
      <w:r w:rsidRPr="001E6067">
        <w:t>Occident / Orient</w:t>
      </w:r>
      <w:r w:rsidRPr="001E6067">
        <w:br/>
        <w:t>Tradition / Modernité</w:t>
      </w:r>
      <w:r w:rsidRPr="001E6067">
        <w:br/>
        <w:t>Dominant / Dominé</w:t>
      </w:r>
    </w:p>
    <w:p w:rsidR="001E6067" w:rsidRPr="001E6067" w:rsidRDefault="001E6067" w:rsidP="001E6067">
      <w:r w:rsidRPr="001E6067">
        <w:t>Il propose une vision dynamique.</w:t>
      </w:r>
    </w:p>
    <w:p w:rsidR="001E6067" w:rsidRPr="001E6067" w:rsidRDefault="001E6067" w:rsidP="001E6067">
      <w:r w:rsidRPr="001E6067">
        <w:pict>
          <v:rect id="_x0000_i1037" style="width:0;height:1.5pt" o:hralign="center" o:hrstd="t" o:hr="t" fillcolor="#a0a0a0" stroked="f"/>
        </w:pict>
      </w:r>
    </w:p>
    <w:p w:rsidR="001E6067" w:rsidRPr="001E6067" w:rsidRDefault="001E6067" w:rsidP="001E6067">
      <w:pPr>
        <w:rPr>
          <w:b/>
          <w:bCs/>
        </w:rPr>
      </w:pPr>
      <w:r w:rsidRPr="001E6067">
        <w:rPr>
          <w:b/>
          <w:bCs/>
        </w:rPr>
        <w:t>4.2. Le « Third Space »</w:t>
      </w:r>
    </w:p>
    <w:p w:rsidR="001E6067" w:rsidRPr="001E6067" w:rsidRDefault="001E6067" w:rsidP="001E6067">
      <w:r w:rsidRPr="001E6067">
        <w:t>« L’identité se construit dans un espace intermédiaire »</w:t>
      </w:r>
      <w:r w:rsidRPr="001E6067">
        <w:br/>
        <w:t>(Bhabha, 1994).</w:t>
      </w:r>
    </w:p>
    <w:p w:rsidR="001E6067" w:rsidRPr="001E6067" w:rsidRDefault="001E6067" w:rsidP="001E6067">
      <w:r w:rsidRPr="001E6067">
        <w:t>Ce troisième espace permet :</w:t>
      </w:r>
    </w:p>
    <w:p w:rsidR="001E6067" w:rsidRPr="001E6067" w:rsidRDefault="001E6067" w:rsidP="001E6067">
      <w:pPr>
        <w:numPr>
          <w:ilvl w:val="0"/>
          <w:numId w:val="7"/>
        </w:numPr>
      </w:pPr>
      <w:r w:rsidRPr="001E6067">
        <w:t>la créativité culturelle,</w:t>
      </w:r>
    </w:p>
    <w:p w:rsidR="001E6067" w:rsidRPr="001E6067" w:rsidRDefault="001E6067" w:rsidP="001E6067">
      <w:pPr>
        <w:numPr>
          <w:ilvl w:val="0"/>
          <w:numId w:val="7"/>
        </w:numPr>
      </w:pPr>
      <w:r w:rsidRPr="001E6067">
        <w:t>la négociation identitaire,</w:t>
      </w:r>
    </w:p>
    <w:p w:rsidR="001E6067" w:rsidRPr="001E6067" w:rsidRDefault="001E6067" w:rsidP="001E6067">
      <w:pPr>
        <w:numPr>
          <w:ilvl w:val="0"/>
          <w:numId w:val="7"/>
        </w:numPr>
      </w:pPr>
      <w:r w:rsidRPr="001E6067">
        <w:t>l’innovation sociale.</w:t>
      </w:r>
    </w:p>
    <w:p w:rsidR="001E6067" w:rsidRPr="001E6067" w:rsidRDefault="001E6067" w:rsidP="001E6067">
      <w:r w:rsidRPr="001E6067">
        <w:pict>
          <v:rect id="_x0000_i1038" style="width:0;height:1.5pt" o:hralign="center" o:hrstd="t" o:hr="t" fillcolor="#a0a0a0" stroked="f"/>
        </w:pict>
      </w:r>
    </w:p>
    <w:p w:rsidR="001E6067" w:rsidRPr="001E6067" w:rsidRDefault="001E6067" w:rsidP="001E6067">
      <w:pPr>
        <w:rPr>
          <w:b/>
          <w:bCs/>
        </w:rPr>
      </w:pPr>
      <w:r w:rsidRPr="001E6067">
        <w:rPr>
          <w:b/>
          <w:bCs/>
        </w:rPr>
        <w:t>4.3. Cas des sociétés postcoloniales</w:t>
      </w:r>
    </w:p>
    <w:p w:rsidR="001E6067" w:rsidRPr="001E6067" w:rsidRDefault="001E6067" w:rsidP="001E6067">
      <w:r w:rsidRPr="001E6067">
        <w:t>Dans les sociétés maghrébines, par exemple :</w:t>
      </w:r>
    </w:p>
    <w:p w:rsidR="001E6067" w:rsidRPr="001E6067" w:rsidRDefault="001E6067" w:rsidP="001E6067">
      <w:pPr>
        <w:numPr>
          <w:ilvl w:val="0"/>
          <w:numId w:val="8"/>
        </w:numPr>
      </w:pPr>
      <w:r w:rsidRPr="001E6067">
        <w:t>coexistence de langues,</w:t>
      </w:r>
    </w:p>
    <w:p w:rsidR="001E6067" w:rsidRPr="001E6067" w:rsidRDefault="001E6067" w:rsidP="001E6067">
      <w:pPr>
        <w:numPr>
          <w:ilvl w:val="0"/>
          <w:numId w:val="8"/>
        </w:numPr>
      </w:pPr>
      <w:r w:rsidRPr="001E6067">
        <w:t>pluralité des références,</w:t>
      </w:r>
    </w:p>
    <w:p w:rsidR="001E6067" w:rsidRPr="001E6067" w:rsidRDefault="001E6067" w:rsidP="001E6067">
      <w:pPr>
        <w:numPr>
          <w:ilvl w:val="0"/>
          <w:numId w:val="8"/>
        </w:numPr>
      </w:pPr>
      <w:r w:rsidRPr="001E6067">
        <w:t>hybridité des pratiques.</w:t>
      </w:r>
    </w:p>
    <w:p w:rsidR="001E6067" w:rsidRPr="001E6067" w:rsidRDefault="001E6067" w:rsidP="001E6067">
      <w:r w:rsidRPr="001E6067">
        <w:t>Cela illustre la complexité interculturelle.</w:t>
      </w:r>
    </w:p>
    <w:p w:rsidR="001E6067" w:rsidRPr="001E6067" w:rsidRDefault="001E6067" w:rsidP="001E6067">
      <w:r w:rsidRPr="001E6067">
        <w:pict>
          <v:rect id="_x0000_i1039" style="width:0;height:1.5pt" o:hralign="center" o:hrstd="t" o:hr="t" fillcolor="#a0a0a0" stroked="f"/>
        </w:pict>
      </w:r>
    </w:p>
    <w:p w:rsidR="001E6067" w:rsidRPr="001E6067" w:rsidRDefault="001E6067" w:rsidP="001E6067">
      <w:pPr>
        <w:rPr>
          <w:b/>
          <w:bCs/>
        </w:rPr>
      </w:pPr>
      <w:r w:rsidRPr="001E6067">
        <w:rPr>
          <w:b/>
          <w:bCs/>
        </w:rPr>
        <w:t>5. Culture, langage et pouvoir : Chomsky et Bourdieu</w:t>
      </w:r>
    </w:p>
    <w:p w:rsidR="001E6067" w:rsidRPr="001E6067" w:rsidRDefault="001E6067" w:rsidP="001E6067">
      <w:r w:rsidRPr="001E6067">
        <w:pict>
          <v:rect id="_x0000_i1040" style="width:0;height:1.5pt" o:hralign="center" o:hrstd="t" o:hr="t" fillcolor="#a0a0a0" stroked="f"/>
        </w:pict>
      </w:r>
    </w:p>
    <w:p w:rsidR="001E6067" w:rsidRPr="001E6067" w:rsidRDefault="001E6067" w:rsidP="001E6067">
      <w:pPr>
        <w:rPr>
          <w:b/>
          <w:bCs/>
        </w:rPr>
      </w:pPr>
      <w:r w:rsidRPr="001E6067">
        <w:rPr>
          <w:b/>
          <w:bCs/>
        </w:rPr>
        <w:t>5.1. Le contrôle discursif</w:t>
      </w:r>
    </w:p>
    <w:p w:rsidR="001E6067" w:rsidRPr="001E6067" w:rsidRDefault="001E6067" w:rsidP="001E6067">
      <w:r w:rsidRPr="001E6067">
        <w:t>Chomsky montre que les médias participent à la fabrication du consentement.</w:t>
      </w:r>
    </w:p>
    <w:p w:rsidR="001E6067" w:rsidRPr="001E6067" w:rsidRDefault="001E6067" w:rsidP="001E6067">
      <w:r w:rsidRPr="001E6067">
        <w:t>« La propagande est à la démocratie ce que la violence est à la dictature »</w:t>
      </w:r>
      <w:r w:rsidRPr="001E6067">
        <w:br/>
        <w:t>(Chomsky, 1988).</w:t>
      </w:r>
    </w:p>
    <w:p w:rsidR="001E6067" w:rsidRPr="001E6067" w:rsidRDefault="001E6067" w:rsidP="001E6067">
      <w:r w:rsidRPr="001E6067">
        <w:t>La culture médiatique oriente les représentations.</w:t>
      </w:r>
    </w:p>
    <w:p w:rsidR="001E6067" w:rsidRPr="001E6067" w:rsidRDefault="001E6067" w:rsidP="001E6067">
      <w:r w:rsidRPr="001E6067">
        <w:lastRenderedPageBreak/>
        <w:pict>
          <v:rect id="_x0000_i1041" style="width:0;height:1.5pt" o:hralign="center" o:hrstd="t" o:hr="t" fillcolor="#a0a0a0" stroked="f"/>
        </w:pict>
      </w:r>
    </w:p>
    <w:p w:rsidR="001E6067" w:rsidRPr="001E6067" w:rsidRDefault="001E6067" w:rsidP="001E6067">
      <w:pPr>
        <w:rPr>
          <w:b/>
          <w:bCs/>
        </w:rPr>
      </w:pPr>
      <w:r w:rsidRPr="001E6067">
        <w:rPr>
          <w:b/>
          <w:bCs/>
        </w:rPr>
        <w:t>5.2. Le marché linguistique</w:t>
      </w:r>
    </w:p>
    <w:p w:rsidR="001E6067" w:rsidRPr="001E6067" w:rsidRDefault="001E6067" w:rsidP="001E6067">
      <w:r w:rsidRPr="001E6067">
        <w:t>Bourdieu parle de « marché linguistique ».</w:t>
      </w:r>
    </w:p>
    <w:p w:rsidR="001E6067" w:rsidRPr="001E6067" w:rsidRDefault="001E6067" w:rsidP="001E6067">
      <w:r w:rsidRPr="001E6067">
        <w:t>« Toute prise de parole est un acte socialement situé »</w:t>
      </w:r>
      <w:r w:rsidRPr="001E6067">
        <w:br/>
        <w:t>(Bourdieu, 1982).</w:t>
      </w:r>
    </w:p>
    <w:p w:rsidR="001E6067" w:rsidRPr="001E6067" w:rsidRDefault="001E6067" w:rsidP="001E6067">
      <w:r w:rsidRPr="001E6067">
        <w:t>Certaines manières de parler ont plus de valeur que d’autres.</w:t>
      </w:r>
    </w:p>
    <w:p w:rsidR="001E6067" w:rsidRPr="001E6067" w:rsidRDefault="001E6067" w:rsidP="001E6067">
      <w:r w:rsidRPr="001E6067">
        <w:pict>
          <v:rect id="_x0000_i1042" style="width:0;height:1.5pt" o:hralign="center" o:hrstd="t" o:hr="t" fillcolor="#a0a0a0" stroked="f"/>
        </w:pict>
      </w:r>
    </w:p>
    <w:p w:rsidR="001E6067" w:rsidRPr="001E6067" w:rsidRDefault="001E6067" w:rsidP="001E6067">
      <w:pPr>
        <w:rPr>
          <w:b/>
          <w:bCs/>
        </w:rPr>
      </w:pPr>
      <w:r w:rsidRPr="001E6067">
        <w:rPr>
          <w:b/>
          <w:bCs/>
        </w:rPr>
        <w:t>6. Culture, éducation et reproduction sociale</w:t>
      </w:r>
    </w:p>
    <w:p w:rsidR="001E6067" w:rsidRPr="001E6067" w:rsidRDefault="001E6067" w:rsidP="001E6067">
      <w:r w:rsidRPr="001E6067">
        <w:pict>
          <v:rect id="_x0000_i1043" style="width:0;height:1.5pt" o:hralign="center" o:hrstd="t" o:hr="t" fillcolor="#a0a0a0" stroked="f"/>
        </w:pict>
      </w:r>
    </w:p>
    <w:p w:rsidR="001E6067" w:rsidRPr="001E6067" w:rsidRDefault="001E6067" w:rsidP="001E6067">
      <w:pPr>
        <w:rPr>
          <w:b/>
          <w:bCs/>
        </w:rPr>
      </w:pPr>
      <w:r w:rsidRPr="001E6067">
        <w:rPr>
          <w:b/>
          <w:bCs/>
        </w:rPr>
        <w:t>6.1. Le rôle central de l’école</w:t>
      </w:r>
    </w:p>
    <w:p w:rsidR="001E6067" w:rsidRPr="001E6067" w:rsidRDefault="001E6067" w:rsidP="001E6067">
      <w:r w:rsidRPr="001E6067">
        <w:t>L’école valorise :</w:t>
      </w:r>
    </w:p>
    <w:p w:rsidR="001E6067" w:rsidRPr="001E6067" w:rsidRDefault="001E6067" w:rsidP="001E6067">
      <w:pPr>
        <w:numPr>
          <w:ilvl w:val="0"/>
          <w:numId w:val="9"/>
        </w:numPr>
      </w:pPr>
      <w:r w:rsidRPr="001E6067">
        <w:t>un certain rapport au savoir,</w:t>
      </w:r>
    </w:p>
    <w:p w:rsidR="001E6067" w:rsidRPr="001E6067" w:rsidRDefault="001E6067" w:rsidP="001E6067">
      <w:pPr>
        <w:numPr>
          <w:ilvl w:val="0"/>
          <w:numId w:val="9"/>
        </w:numPr>
      </w:pPr>
      <w:r w:rsidRPr="001E6067">
        <w:t>une certaine langue,</w:t>
      </w:r>
    </w:p>
    <w:p w:rsidR="001E6067" w:rsidRPr="001E6067" w:rsidRDefault="001E6067" w:rsidP="001E6067">
      <w:pPr>
        <w:numPr>
          <w:ilvl w:val="0"/>
          <w:numId w:val="9"/>
        </w:numPr>
      </w:pPr>
      <w:r w:rsidRPr="001E6067">
        <w:t>un certain comportement.</w:t>
      </w:r>
    </w:p>
    <w:p w:rsidR="001E6067" w:rsidRPr="001E6067" w:rsidRDefault="001E6067" w:rsidP="001E6067">
      <w:r w:rsidRPr="001E6067">
        <w:t>Cela favorise les héritiers culturels.</w:t>
      </w:r>
    </w:p>
    <w:p w:rsidR="001E6067" w:rsidRPr="001E6067" w:rsidRDefault="001E6067" w:rsidP="001E6067">
      <w:r w:rsidRPr="001E6067">
        <w:pict>
          <v:rect id="_x0000_i1044" style="width:0;height:1.5pt" o:hralign="center" o:hrstd="t" o:hr="t" fillcolor="#a0a0a0" stroked="f"/>
        </w:pict>
      </w:r>
    </w:p>
    <w:p w:rsidR="001E6067" w:rsidRPr="001E6067" w:rsidRDefault="001E6067" w:rsidP="001E6067">
      <w:pPr>
        <w:rPr>
          <w:b/>
          <w:bCs/>
        </w:rPr>
      </w:pPr>
      <w:r w:rsidRPr="001E6067">
        <w:rPr>
          <w:b/>
          <w:bCs/>
        </w:rPr>
        <w:t>6.2. Enjeux pour l’enseignement du FLE</w:t>
      </w:r>
    </w:p>
    <w:p w:rsidR="001E6067" w:rsidRPr="001E6067" w:rsidRDefault="001E6067" w:rsidP="001E6067">
      <w:r w:rsidRPr="001E6067">
        <w:t>L’enseignant doit :</w:t>
      </w:r>
    </w:p>
    <w:p w:rsidR="001E6067" w:rsidRPr="001E6067" w:rsidRDefault="001E6067" w:rsidP="001E6067">
      <w:pPr>
        <w:numPr>
          <w:ilvl w:val="0"/>
          <w:numId w:val="10"/>
        </w:numPr>
      </w:pPr>
      <w:r w:rsidRPr="001E6067">
        <w:t>reconnaître les répertoires plurilingues,</w:t>
      </w:r>
    </w:p>
    <w:p w:rsidR="001E6067" w:rsidRPr="001E6067" w:rsidRDefault="001E6067" w:rsidP="001E6067">
      <w:pPr>
        <w:numPr>
          <w:ilvl w:val="0"/>
          <w:numId w:val="10"/>
        </w:numPr>
      </w:pPr>
      <w:r w:rsidRPr="001E6067">
        <w:t>lutter contre l’insécurité linguistique,</w:t>
      </w:r>
    </w:p>
    <w:p w:rsidR="001E6067" w:rsidRPr="001E6067" w:rsidRDefault="001E6067" w:rsidP="001E6067">
      <w:pPr>
        <w:numPr>
          <w:ilvl w:val="0"/>
          <w:numId w:val="10"/>
        </w:numPr>
      </w:pPr>
      <w:r w:rsidRPr="001E6067">
        <w:t>valoriser les identités multiples.</w:t>
      </w:r>
    </w:p>
    <w:p w:rsidR="001E6067" w:rsidRPr="001E6067" w:rsidRDefault="001E6067" w:rsidP="001E6067">
      <w:r w:rsidRPr="001E6067">
        <w:pict>
          <v:rect id="_x0000_i1045" style="width:0;height:1.5pt" o:hralign="center" o:hrstd="t" o:hr="t" fillcolor="#a0a0a0" stroked="f"/>
        </w:pict>
      </w:r>
    </w:p>
    <w:p w:rsidR="001E6067" w:rsidRPr="001E6067" w:rsidRDefault="001E6067" w:rsidP="001E6067">
      <w:pPr>
        <w:rPr>
          <w:b/>
          <w:bCs/>
        </w:rPr>
      </w:pPr>
      <w:r w:rsidRPr="001E6067">
        <w:rPr>
          <w:b/>
          <w:bCs/>
        </w:rPr>
        <w:t>7. Interculturalité critique : Todorov et Spivak</w:t>
      </w:r>
    </w:p>
    <w:p w:rsidR="001E6067" w:rsidRPr="001E6067" w:rsidRDefault="001E6067" w:rsidP="001E6067">
      <w:r w:rsidRPr="001E6067">
        <w:pict>
          <v:rect id="_x0000_i1046" style="width:0;height:1.5pt" o:hralign="center" o:hrstd="t" o:hr="t" fillcolor="#a0a0a0" stroked="f"/>
        </w:pict>
      </w:r>
    </w:p>
    <w:p w:rsidR="001E6067" w:rsidRPr="001E6067" w:rsidRDefault="001E6067" w:rsidP="001E6067">
      <w:pPr>
        <w:rPr>
          <w:b/>
          <w:bCs/>
        </w:rPr>
      </w:pPr>
      <w:r w:rsidRPr="001E6067">
        <w:rPr>
          <w:b/>
          <w:bCs/>
        </w:rPr>
        <w:t>7.1. Todorov : reconnaissance et réciprocité</w:t>
      </w:r>
    </w:p>
    <w:p w:rsidR="001E6067" w:rsidRPr="001E6067" w:rsidRDefault="001E6067" w:rsidP="001E6067">
      <w:r w:rsidRPr="001E6067">
        <w:t>« Comprendre l’autre, ce n’est pas l’absorber »</w:t>
      </w:r>
      <w:r w:rsidRPr="001E6067">
        <w:br/>
        <w:t>(Todorov, 1989).</w:t>
      </w:r>
    </w:p>
    <w:p w:rsidR="001E6067" w:rsidRPr="001E6067" w:rsidRDefault="001E6067" w:rsidP="001E6067">
      <w:r w:rsidRPr="001E6067">
        <w:t>L’interculturel suppose l’égalité symbolique.</w:t>
      </w:r>
    </w:p>
    <w:p w:rsidR="001E6067" w:rsidRPr="001E6067" w:rsidRDefault="001E6067" w:rsidP="001E6067">
      <w:r w:rsidRPr="001E6067">
        <w:pict>
          <v:rect id="_x0000_i1047" style="width:0;height:1.5pt" o:hralign="center" o:hrstd="t" o:hr="t" fillcolor="#a0a0a0" stroked="f"/>
        </w:pict>
      </w:r>
    </w:p>
    <w:p w:rsidR="001E6067" w:rsidRPr="001E6067" w:rsidRDefault="001E6067" w:rsidP="001E6067">
      <w:pPr>
        <w:rPr>
          <w:b/>
          <w:bCs/>
        </w:rPr>
      </w:pPr>
      <w:r w:rsidRPr="001E6067">
        <w:rPr>
          <w:b/>
          <w:bCs/>
        </w:rPr>
        <w:t>7.2. Spivak : la voix des dominés</w:t>
      </w:r>
    </w:p>
    <w:p w:rsidR="001E6067" w:rsidRPr="001E6067" w:rsidRDefault="001E6067" w:rsidP="001E6067">
      <w:r w:rsidRPr="001E6067">
        <w:t>Spivak pose la question :</w:t>
      </w:r>
    </w:p>
    <w:p w:rsidR="001E6067" w:rsidRPr="001E6067" w:rsidRDefault="001E6067" w:rsidP="001E6067">
      <w:r w:rsidRPr="001E6067">
        <w:lastRenderedPageBreak/>
        <w:t>« Les subalternes peuvent-ils parler ? »</w:t>
      </w:r>
      <w:r w:rsidRPr="001E6067">
        <w:br/>
        <w:t>(Spivak, 1988).</w:t>
      </w:r>
    </w:p>
    <w:p w:rsidR="001E6067" w:rsidRPr="001E6067" w:rsidRDefault="001E6067" w:rsidP="001E6067">
      <w:r w:rsidRPr="001E6067">
        <w:t>Souvent, leur parole est confisquée.</w:t>
      </w:r>
    </w:p>
    <w:p w:rsidR="001E6067" w:rsidRPr="001E6067" w:rsidRDefault="001E6067" w:rsidP="001E6067">
      <w:r w:rsidRPr="001E6067">
        <w:pict>
          <v:rect id="_x0000_i1048" style="width:0;height:1.5pt" o:hralign="center" o:hrstd="t" o:hr="t" fillcolor="#a0a0a0" stroked="f"/>
        </w:pict>
      </w:r>
    </w:p>
    <w:p w:rsidR="001E6067" w:rsidRPr="001E6067" w:rsidRDefault="001E6067" w:rsidP="001E6067">
      <w:pPr>
        <w:rPr>
          <w:b/>
          <w:bCs/>
        </w:rPr>
      </w:pPr>
      <w:r w:rsidRPr="001E6067">
        <w:rPr>
          <w:b/>
          <w:bCs/>
        </w:rPr>
        <w:t>8. Vers une pédagogie interculturelle critique</w:t>
      </w:r>
    </w:p>
    <w:p w:rsidR="001E6067" w:rsidRPr="001E6067" w:rsidRDefault="001E6067" w:rsidP="001E6067">
      <w:r w:rsidRPr="001E6067">
        <w:pict>
          <v:rect id="_x0000_i1049" style="width:0;height:1.5pt" o:hralign="center" o:hrstd="t" o:hr="t" fillcolor="#a0a0a0" stroked="f"/>
        </w:pict>
      </w:r>
    </w:p>
    <w:p w:rsidR="001E6067" w:rsidRPr="001E6067" w:rsidRDefault="001E6067" w:rsidP="001E6067">
      <w:pPr>
        <w:rPr>
          <w:b/>
          <w:bCs/>
        </w:rPr>
      </w:pPr>
      <w:r w:rsidRPr="001E6067">
        <w:rPr>
          <w:b/>
          <w:bCs/>
        </w:rPr>
        <w:t>8.1. Former des sujets réflexifs</w:t>
      </w:r>
    </w:p>
    <w:p w:rsidR="001E6067" w:rsidRPr="001E6067" w:rsidRDefault="001E6067" w:rsidP="001E6067">
      <w:r w:rsidRPr="001E6067">
        <w:t>L’objectif n’est pas seulement linguistique, mais citoyen.</w:t>
      </w:r>
    </w:p>
    <w:p w:rsidR="001E6067" w:rsidRPr="001E6067" w:rsidRDefault="001E6067" w:rsidP="001E6067">
      <w:r w:rsidRPr="001E6067">
        <w:t>Inspiré de Freire :</w:t>
      </w:r>
    </w:p>
    <w:p w:rsidR="001E6067" w:rsidRPr="001E6067" w:rsidRDefault="001E6067" w:rsidP="001E6067">
      <w:r w:rsidRPr="001E6067">
        <w:t>« L’éducation est un acte politique »</w:t>
      </w:r>
      <w:r w:rsidRPr="001E6067">
        <w:br/>
        <w:t>(Freire, 1970).</w:t>
      </w:r>
    </w:p>
    <w:p w:rsidR="001E6067" w:rsidRPr="001E6067" w:rsidRDefault="001E6067" w:rsidP="001E6067">
      <w:r w:rsidRPr="001E6067">
        <w:pict>
          <v:rect id="_x0000_i1050" style="width:0;height:1.5pt" o:hralign="center" o:hrstd="t" o:hr="t" fillcolor="#a0a0a0" stroked="f"/>
        </w:pict>
      </w:r>
    </w:p>
    <w:p w:rsidR="001E6067" w:rsidRPr="001E6067" w:rsidRDefault="001E6067" w:rsidP="001E6067">
      <w:pPr>
        <w:rPr>
          <w:b/>
          <w:bCs/>
        </w:rPr>
      </w:pPr>
      <w:r w:rsidRPr="001E6067">
        <w:rPr>
          <w:b/>
          <w:bCs/>
        </w:rPr>
        <w:t>8.2. Rôle de l’enseignant</w:t>
      </w:r>
    </w:p>
    <w:p w:rsidR="001E6067" w:rsidRPr="001E6067" w:rsidRDefault="001E6067" w:rsidP="001E6067">
      <w:r w:rsidRPr="001E6067">
        <w:t>L’enseignant devient :</w:t>
      </w:r>
    </w:p>
    <w:p w:rsidR="001E6067" w:rsidRPr="001E6067" w:rsidRDefault="001E6067" w:rsidP="001E6067">
      <w:pPr>
        <w:numPr>
          <w:ilvl w:val="0"/>
          <w:numId w:val="11"/>
        </w:numPr>
      </w:pPr>
      <w:r w:rsidRPr="001E6067">
        <w:t>médiateur culturel,</w:t>
      </w:r>
    </w:p>
    <w:p w:rsidR="001E6067" w:rsidRPr="001E6067" w:rsidRDefault="001E6067" w:rsidP="001E6067">
      <w:pPr>
        <w:numPr>
          <w:ilvl w:val="0"/>
          <w:numId w:val="11"/>
        </w:numPr>
      </w:pPr>
      <w:r w:rsidRPr="001E6067">
        <w:t>facilitateur critique,</w:t>
      </w:r>
    </w:p>
    <w:p w:rsidR="001E6067" w:rsidRPr="001E6067" w:rsidRDefault="001E6067" w:rsidP="001E6067">
      <w:pPr>
        <w:numPr>
          <w:ilvl w:val="0"/>
          <w:numId w:val="11"/>
        </w:numPr>
      </w:pPr>
      <w:r w:rsidRPr="001E6067">
        <w:t>accompagnateur réflexif.</w:t>
      </w:r>
    </w:p>
    <w:p w:rsidR="001E6067" w:rsidRPr="001E6067" w:rsidRDefault="001E6067" w:rsidP="001E6067">
      <w:r w:rsidRPr="001E6067">
        <w:pict>
          <v:rect id="_x0000_i1051" style="width:0;height:1.5pt" o:hralign="center" o:hrstd="t" o:hr="t" fillcolor="#a0a0a0" stroked="f"/>
        </w:pict>
      </w:r>
    </w:p>
    <w:p w:rsidR="001E6067" w:rsidRPr="001E6067" w:rsidRDefault="001E6067" w:rsidP="001E6067">
      <w:pPr>
        <w:rPr>
          <w:b/>
          <w:bCs/>
        </w:rPr>
      </w:pPr>
      <w:r w:rsidRPr="001E6067">
        <w:rPr>
          <w:b/>
          <w:bCs/>
        </w:rPr>
        <w:t>9. Synthèse approfondie</w:t>
      </w:r>
    </w:p>
    <w:p w:rsidR="001E6067" w:rsidRPr="001E6067" w:rsidRDefault="001E6067" w:rsidP="001E6067">
      <w:r w:rsidRPr="001E6067">
        <w:t>Cette séance montre que :</w:t>
      </w:r>
    </w:p>
    <w:p w:rsidR="001E6067" w:rsidRPr="001E6067" w:rsidRDefault="001E6067" w:rsidP="001E6067">
      <w:pPr>
        <w:numPr>
          <w:ilvl w:val="0"/>
          <w:numId w:val="12"/>
        </w:numPr>
      </w:pPr>
      <w:r w:rsidRPr="001E6067">
        <w:t>La culture est un espace de lutte symbolique.</w:t>
      </w:r>
    </w:p>
    <w:p w:rsidR="001E6067" w:rsidRPr="001E6067" w:rsidRDefault="001E6067" w:rsidP="001E6067">
      <w:pPr>
        <w:numPr>
          <w:ilvl w:val="0"/>
          <w:numId w:val="12"/>
        </w:numPr>
      </w:pPr>
      <w:r w:rsidRPr="001E6067">
        <w:t>Les inégalités sont souvent invisibilisées.</w:t>
      </w:r>
    </w:p>
    <w:p w:rsidR="001E6067" w:rsidRPr="001E6067" w:rsidRDefault="001E6067" w:rsidP="001E6067">
      <w:pPr>
        <w:numPr>
          <w:ilvl w:val="0"/>
          <w:numId w:val="12"/>
        </w:numPr>
      </w:pPr>
      <w:r w:rsidRPr="001E6067">
        <w:t>Les identités sont dynamiques.</w:t>
      </w:r>
    </w:p>
    <w:p w:rsidR="001E6067" w:rsidRPr="001E6067" w:rsidRDefault="001E6067" w:rsidP="001E6067">
      <w:pPr>
        <w:numPr>
          <w:ilvl w:val="0"/>
          <w:numId w:val="12"/>
        </w:numPr>
      </w:pPr>
      <w:r w:rsidRPr="001E6067">
        <w:t>L’interculturel implique une conscience critique.</w:t>
      </w:r>
    </w:p>
    <w:p w:rsidR="001E6067" w:rsidRPr="001E6067" w:rsidRDefault="001E6067" w:rsidP="001E6067">
      <w:pPr>
        <w:numPr>
          <w:ilvl w:val="0"/>
          <w:numId w:val="12"/>
        </w:numPr>
      </w:pPr>
      <w:r w:rsidRPr="001E6067">
        <w:t>Le FLE est un espace stratégique de médiation.</w:t>
      </w:r>
    </w:p>
    <w:p w:rsidR="001E6067" w:rsidRPr="001E6067" w:rsidRDefault="001E6067" w:rsidP="001E6067">
      <w:r w:rsidRPr="001E6067">
        <w:pict>
          <v:rect id="_x0000_i1052" style="width:0;height:1.5pt" o:hralign="center" o:hrstd="t" o:hr="t" fillcolor="#a0a0a0" stroked="f"/>
        </w:pict>
      </w:r>
    </w:p>
    <w:p w:rsidR="001E6067" w:rsidRPr="001E6067" w:rsidRDefault="001E6067" w:rsidP="001E6067">
      <w:pPr>
        <w:rPr>
          <w:b/>
          <w:bCs/>
        </w:rPr>
      </w:pPr>
      <w:r w:rsidRPr="001E6067">
        <w:rPr>
          <w:b/>
          <w:bCs/>
        </w:rPr>
        <w:t>10. Perspectives pour les étudiants</w:t>
      </w:r>
    </w:p>
    <w:p w:rsidR="001E6067" w:rsidRPr="001E6067" w:rsidRDefault="001E6067" w:rsidP="001E6067">
      <w:r w:rsidRPr="001E6067">
        <w:t>Après cette séance, les étudiants doivent être capables de :</w:t>
      </w:r>
    </w:p>
    <w:p w:rsidR="001E6067" w:rsidRPr="001E6067" w:rsidRDefault="001E6067" w:rsidP="001E6067">
      <w:pPr>
        <w:numPr>
          <w:ilvl w:val="0"/>
          <w:numId w:val="13"/>
        </w:numPr>
      </w:pPr>
      <w:r w:rsidRPr="001E6067">
        <w:t>analyser les discours culturels,</w:t>
      </w:r>
    </w:p>
    <w:p w:rsidR="001E6067" w:rsidRPr="001E6067" w:rsidRDefault="001E6067" w:rsidP="001E6067">
      <w:pPr>
        <w:numPr>
          <w:ilvl w:val="0"/>
          <w:numId w:val="13"/>
        </w:numPr>
      </w:pPr>
      <w:r w:rsidRPr="001E6067">
        <w:t>repérer les mécanismes de domination,</w:t>
      </w:r>
    </w:p>
    <w:p w:rsidR="001E6067" w:rsidRPr="001E6067" w:rsidRDefault="001E6067" w:rsidP="001E6067">
      <w:pPr>
        <w:numPr>
          <w:ilvl w:val="0"/>
          <w:numId w:val="13"/>
        </w:numPr>
      </w:pPr>
      <w:r w:rsidRPr="001E6067">
        <w:t>adopter une posture éthique,</w:t>
      </w:r>
    </w:p>
    <w:p w:rsidR="001E6067" w:rsidRPr="001E6067" w:rsidRDefault="001E6067" w:rsidP="001E6067">
      <w:pPr>
        <w:numPr>
          <w:ilvl w:val="0"/>
          <w:numId w:val="13"/>
        </w:numPr>
      </w:pPr>
      <w:r w:rsidRPr="001E6067">
        <w:t>développer une compétence interculturelle critique.</w:t>
      </w:r>
    </w:p>
    <w:p w:rsidR="001E6067" w:rsidRPr="001E6067" w:rsidRDefault="001E6067" w:rsidP="001E6067">
      <w:r w:rsidRPr="001E6067">
        <w:lastRenderedPageBreak/>
        <w:pict>
          <v:rect id="_x0000_i1053" style="width:0;height:1.5pt" o:hralign="center" o:hrstd="t" o:hr="t" fillcolor="#a0a0a0" stroked="f"/>
        </w:pict>
      </w:r>
    </w:p>
    <w:p w:rsidR="001E6067" w:rsidRPr="001E6067" w:rsidRDefault="001E6067" w:rsidP="001E6067">
      <w:pPr>
        <w:rPr>
          <w:b/>
          <w:bCs/>
        </w:rPr>
      </w:pPr>
      <w:r w:rsidRPr="001E6067">
        <w:rPr>
          <w:b/>
          <w:bCs/>
        </w:rPr>
        <w:t>Bibliographie APA (complétée)</w:t>
      </w:r>
    </w:p>
    <w:p w:rsidR="001E6067" w:rsidRPr="001E6067" w:rsidRDefault="001E6067" w:rsidP="001E6067">
      <w:r w:rsidRPr="001E6067">
        <w:t xml:space="preserve">Bhabha, H. K. (1994). </w:t>
      </w:r>
      <w:r w:rsidRPr="001E6067">
        <w:rPr>
          <w:i/>
          <w:iCs/>
        </w:rPr>
        <w:t>The Location of Culture</w:t>
      </w:r>
      <w:r w:rsidRPr="001E6067">
        <w:t>. Routledge.</w:t>
      </w:r>
    </w:p>
    <w:p w:rsidR="001E6067" w:rsidRPr="001E6067" w:rsidRDefault="001E6067" w:rsidP="001E6067">
      <w:r w:rsidRPr="001E6067">
        <w:t xml:space="preserve">Bourdieu, P. (1979). </w:t>
      </w:r>
      <w:r w:rsidRPr="001E6067">
        <w:rPr>
          <w:i/>
          <w:iCs/>
        </w:rPr>
        <w:t>La distinction</w:t>
      </w:r>
      <w:r w:rsidRPr="001E6067">
        <w:t>. Minuit.</w:t>
      </w:r>
    </w:p>
    <w:p w:rsidR="001E6067" w:rsidRPr="001E6067" w:rsidRDefault="001E6067" w:rsidP="001E6067">
      <w:r w:rsidRPr="001E6067">
        <w:t xml:space="preserve">Bourdieu, P. (1982). </w:t>
      </w:r>
      <w:r w:rsidRPr="001E6067">
        <w:rPr>
          <w:i/>
          <w:iCs/>
        </w:rPr>
        <w:t>Ce que parler veut dire</w:t>
      </w:r>
      <w:r w:rsidRPr="001E6067">
        <w:t>. Fayard.</w:t>
      </w:r>
    </w:p>
    <w:p w:rsidR="001E6067" w:rsidRPr="001E6067" w:rsidRDefault="001E6067" w:rsidP="001E6067">
      <w:r w:rsidRPr="001E6067">
        <w:t xml:space="preserve">Bourdieu, P. (1998). </w:t>
      </w:r>
      <w:r w:rsidRPr="001E6067">
        <w:rPr>
          <w:i/>
          <w:iCs/>
        </w:rPr>
        <w:t>La domination masculine</w:t>
      </w:r>
      <w:r w:rsidRPr="001E6067">
        <w:t>. Seuil.</w:t>
      </w:r>
    </w:p>
    <w:p w:rsidR="001E6067" w:rsidRPr="001E6067" w:rsidRDefault="001E6067" w:rsidP="001E6067">
      <w:r w:rsidRPr="001E6067">
        <w:t xml:space="preserve">Chomsky, N. (1988). </w:t>
      </w:r>
      <w:r w:rsidRPr="001E6067">
        <w:rPr>
          <w:i/>
          <w:iCs/>
        </w:rPr>
        <w:t>Manufacturing Consent</w:t>
      </w:r>
      <w:r w:rsidRPr="001E6067">
        <w:t>. Pantheon.</w:t>
      </w:r>
    </w:p>
    <w:p w:rsidR="001E6067" w:rsidRPr="001E6067" w:rsidRDefault="001E6067" w:rsidP="001E6067">
      <w:r w:rsidRPr="001E6067">
        <w:t xml:space="preserve">Foucault, M. (1976). </w:t>
      </w:r>
      <w:r w:rsidRPr="001E6067">
        <w:rPr>
          <w:i/>
          <w:iCs/>
        </w:rPr>
        <w:t>Histoire de la sexualité I</w:t>
      </w:r>
      <w:r w:rsidRPr="001E6067">
        <w:t>. Gallimard.</w:t>
      </w:r>
    </w:p>
    <w:p w:rsidR="001E6067" w:rsidRPr="001E6067" w:rsidRDefault="001E6067" w:rsidP="001E6067">
      <w:r w:rsidRPr="001E6067">
        <w:t xml:space="preserve">Freire, P. (1970). </w:t>
      </w:r>
      <w:r w:rsidRPr="001E6067">
        <w:rPr>
          <w:i/>
          <w:iCs/>
        </w:rPr>
        <w:t>Pedagogy of the Oppressed</w:t>
      </w:r>
      <w:r w:rsidRPr="001E6067">
        <w:t>. Continuum.</w:t>
      </w:r>
    </w:p>
    <w:p w:rsidR="001E6067" w:rsidRPr="001E6067" w:rsidRDefault="001E6067" w:rsidP="001E6067">
      <w:r w:rsidRPr="001E6067">
        <w:t xml:space="preserve">Said, E. (1978). </w:t>
      </w:r>
      <w:r w:rsidRPr="001E6067">
        <w:rPr>
          <w:i/>
          <w:iCs/>
        </w:rPr>
        <w:t>Orientalism</w:t>
      </w:r>
      <w:r w:rsidRPr="001E6067">
        <w:t>. Pantheon.</w:t>
      </w:r>
    </w:p>
    <w:p w:rsidR="001E6067" w:rsidRPr="001E6067" w:rsidRDefault="001E6067" w:rsidP="001E6067">
      <w:r w:rsidRPr="001E6067">
        <w:t xml:space="preserve">Spivak, G. C. (1988). </w:t>
      </w:r>
      <w:r w:rsidRPr="001E6067">
        <w:rPr>
          <w:i/>
          <w:iCs/>
        </w:rPr>
        <w:t>Can the Subaltern Speak?</w:t>
      </w:r>
      <w:r w:rsidRPr="001E6067">
        <w:t>.</w:t>
      </w:r>
    </w:p>
    <w:p w:rsidR="001E6067" w:rsidRPr="001E6067" w:rsidRDefault="001E6067" w:rsidP="001E6067">
      <w:r w:rsidRPr="001E6067">
        <w:t xml:space="preserve">Todorov, T. (1989). </w:t>
      </w:r>
      <w:r w:rsidRPr="001E6067">
        <w:rPr>
          <w:i/>
          <w:iCs/>
        </w:rPr>
        <w:t>Nous et les autres</w:t>
      </w:r>
      <w:r w:rsidRPr="001E6067">
        <w:t>. Seuil.</w:t>
      </w:r>
    </w:p>
    <w:p w:rsidR="00B81837" w:rsidRDefault="00B81837"/>
    <w:sectPr w:rsidR="00B81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7B0"/>
    <w:multiLevelType w:val="multilevel"/>
    <w:tmpl w:val="A0CC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71DCF"/>
    <w:multiLevelType w:val="multilevel"/>
    <w:tmpl w:val="79F0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96FBE"/>
    <w:multiLevelType w:val="multilevel"/>
    <w:tmpl w:val="1D12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1767D"/>
    <w:multiLevelType w:val="multilevel"/>
    <w:tmpl w:val="F13A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83454"/>
    <w:multiLevelType w:val="multilevel"/>
    <w:tmpl w:val="82BE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4120D"/>
    <w:multiLevelType w:val="multilevel"/>
    <w:tmpl w:val="86D4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91619"/>
    <w:multiLevelType w:val="multilevel"/>
    <w:tmpl w:val="E85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95339"/>
    <w:multiLevelType w:val="multilevel"/>
    <w:tmpl w:val="014C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019CA"/>
    <w:multiLevelType w:val="multilevel"/>
    <w:tmpl w:val="1052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538C"/>
    <w:multiLevelType w:val="multilevel"/>
    <w:tmpl w:val="C31A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4290A"/>
    <w:multiLevelType w:val="multilevel"/>
    <w:tmpl w:val="4C8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55AB1"/>
    <w:multiLevelType w:val="multilevel"/>
    <w:tmpl w:val="21AE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514C2"/>
    <w:multiLevelType w:val="multilevel"/>
    <w:tmpl w:val="3AD8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2"/>
  </w:num>
  <w:num w:numId="4">
    <w:abstractNumId w:val="6"/>
  </w:num>
  <w:num w:numId="5">
    <w:abstractNumId w:val="3"/>
  </w:num>
  <w:num w:numId="6">
    <w:abstractNumId w:val="5"/>
  </w:num>
  <w:num w:numId="7">
    <w:abstractNumId w:val="2"/>
  </w:num>
  <w:num w:numId="8">
    <w:abstractNumId w:val="9"/>
  </w:num>
  <w:num w:numId="9">
    <w:abstractNumId w:val="8"/>
  </w:num>
  <w:num w:numId="10">
    <w:abstractNumId w:val="0"/>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7"/>
    <w:rsid w:val="001E6067"/>
    <w:rsid w:val="00622334"/>
    <w:rsid w:val="00764F8E"/>
    <w:rsid w:val="007A4E80"/>
    <w:rsid w:val="00B818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1A7C"/>
  <w15:chartTrackingRefBased/>
  <w15:docId w15:val="{A0792EBD-3FC7-4AE1-8184-6545C79F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4050">
      <w:bodyDiv w:val="1"/>
      <w:marLeft w:val="0"/>
      <w:marRight w:val="0"/>
      <w:marTop w:val="0"/>
      <w:marBottom w:val="0"/>
      <w:divBdr>
        <w:top w:val="none" w:sz="0" w:space="0" w:color="auto"/>
        <w:left w:val="none" w:sz="0" w:space="0" w:color="auto"/>
        <w:bottom w:val="none" w:sz="0" w:space="0" w:color="auto"/>
        <w:right w:val="none" w:sz="0" w:space="0" w:color="auto"/>
      </w:divBdr>
      <w:divsChild>
        <w:div w:id="1121916732">
          <w:marLeft w:val="0"/>
          <w:marRight w:val="0"/>
          <w:marTop w:val="0"/>
          <w:marBottom w:val="0"/>
          <w:divBdr>
            <w:top w:val="single" w:sz="2" w:space="0" w:color="auto"/>
            <w:left w:val="single" w:sz="2" w:space="0" w:color="auto"/>
            <w:bottom w:val="single" w:sz="2" w:space="0" w:color="auto"/>
            <w:right w:val="single" w:sz="2" w:space="0" w:color="auto"/>
          </w:divBdr>
          <w:divsChild>
            <w:div w:id="436174572">
              <w:marLeft w:val="0"/>
              <w:marRight w:val="0"/>
              <w:marTop w:val="0"/>
              <w:marBottom w:val="0"/>
              <w:divBdr>
                <w:top w:val="single" w:sz="2" w:space="0" w:color="auto"/>
                <w:left w:val="single" w:sz="2" w:space="0" w:color="auto"/>
                <w:bottom w:val="single" w:sz="2" w:space="0" w:color="auto"/>
                <w:right w:val="single" w:sz="2" w:space="0" w:color="auto"/>
              </w:divBdr>
              <w:divsChild>
                <w:div w:id="1262033912">
                  <w:marLeft w:val="0"/>
                  <w:marRight w:val="0"/>
                  <w:marTop w:val="0"/>
                  <w:marBottom w:val="0"/>
                  <w:divBdr>
                    <w:top w:val="single" w:sz="2" w:space="0" w:color="auto"/>
                    <w:left w:val="single" w:sz="2" w:space="0" w:color="auto"/>
                    <w:bottom w:val="single" w:sz="2" w:space="0" w:color="auto"/>
                    <w:right w:val="single" w:sz="2" w:space="0" w:color="auto"/>
                  </w:divBdr>
                  <w:divsChild>
                    <w:div w:id="1233352094">
                      <w:marLeft w:val="0"/>
                      <w:marRight w:val="0"/>
                      <w:marTop w:val="0"/>
                      <w:marBottom w:val="0"/>
                      <w:divBdr>
                        <w:top w:val="single" w:sz="2" w:space="0" w:color="auto"/>
                        <w:left w:val="single" w:sz="2" w:space="0" w:color="auto"/>
                        <w:bottom w:val="single" w:sz="2" w:space="0" w:color="auto"/>
                        <w:right w:val="single" w:sz="2" w:space="0" w:color="auto"/>
                      </w:divBdr>
                      <w:divsChild>
                        <w:div w:id="1705400798">
                          <w:marLeft w:val="0"/>
                          <w:marRight w:val="0"/>
                          <w:marTop w:val="0"/>
                          <w:marBottom w:val="0"/>
                          <w:divBdr>
                            <w:top w:val="single" w:sz="2" w:space="0" w:color="auto"/>
                            <w:left w:val="single" w:sz="2" w:space="0" w:color="auto"/>
                            <w:bottom w:val="single" w:sz="2" w:space="0" w:color="auto"/>
                            <w:right w:val="single" w:sz="2" w:space="0" w:color="auto"/>
                          </w:divBdr>
                          <w:divsChild>
                            <w:div w:id="691610375">
                              <w:marLeft w:val="0"/>
                              <w:marRight w:val="0"/>
                              <w:marTop w:val="0"/>
                              <w:marBottom w:val="0"/>
                              <w:divBdr>
                                <w:top w:val="single" w:sz="2" w:space="0" w:color="auto"/>
                                <w:left w:val="single" w:sz="2" w:space="0" w:color="auto"/>
                                <w:bottom w:val="single" w:sz="2" w:space="0" w:color="auto"/>
                                <w:right w:val="single" w:sz="2" w:space="0" w:color="auto"/>
                              </w:divBdr>
                              <w:divsChild>
                                <w:div w:id="575163285">
                                  <w:marLeft w:val="0"/>
                                  <w:marRight w:val="0"/>
                                  <w:marTop w:val="0"/>
                                  <w:marBottom w:val="0"/>
                                  <w:divBdr>
                                    <w:top w:val="single" w:sz="2" w:space="0" w:color="auto"/>
                                    <w:left w:val="single" w:sz="2" w:space="0" w:color="auto"/>
                                    <w:bottom w:val="single" w:sz="2" w:space="0" w:color="auto"/>
                                    <w:right w:val="single" w:sz="2" w:space="0" w:color="auto"/>
                                  </w:divBdr>
                                  <w:divsChild>
                                    <w:div w:id="381752392">
                                      <w:marLeft w:val="0"/>
                                      <w:marRight w:val="0"/>
                                      <w:marTop w:val="0"/>
                                      <w:marBottom w:val="0"/>
                                      <w:divBdr>
                                        <w:top w:val="single" w:sz="2" w:space="0" w:color="auto"/>
                                        <w:left w:val="single" w:sz="2" w:space="0" w:color="auto"/>
                                        <w:bottom w:val="single" w:sz="2" w:space="0" w:color="auto"/>
                                        <w:right w:val="single" w:sz="2" w:space="0" w:color="auto"/>
                                      </w:divBdr>
                                      <w:divsChild>
                                        <w:div w:id="813524790">
                                          <w:marLeft w:val="0"/>
                                          <w:marRight w:val="0"/>
                                          <w:marTop w:val="0"/>
                                          <w:marBottom w:val="0"/>
                                          <w:divBdr>
                                            <w:top w:val="single" w:sz="2" w:space="0" w:color="auto"/>
                                            <w:left w:val="single" w:sz="2" w:space="0" w:color="auto"/>
                                            <w:bottom w:val="single" w:sz="2" w:space="0" w:color="auto"/>
                                            <w:right w:val="single" w:sz="2" w:space="0" w:color="auto"/>
                                          </w:divBdr>
                                          <w:divsChild>
                                            <w:div w:id="2081096498">
                                              <w:marLeft w:val="0"/>
                                              <w:marRight w:val="0"/>
                                              <w:marTop w:val="0"/>
                                              <w:marBottom w:val="0"/>
                                              <w:divBdr>
                                                <w:top w:val="single" w:sz="2" w:space="0" w:color="auto"/>
                                                <w:left w:val="single" w:sz="2" w:space="0" w:color="auto"/>
                                                <w:bottom w:val="single" w:sz="2" w:space="0" w:color="auto"/>
                                                <w:right w:val="single" w:sz="2" w:space="0" w:color="auto"/>
                                              </w:divBdr>
                                              <w:divsChild>
                                                <w:div w:id="1161000294">
                                                  <w:marLeft w:val="0"/>
                                                  <w:marRight w:val="0"/>
                                                  <w:marTop w:val="0"/>
                                                  <w:marBottom w:val="0"/>
                                                  <w:divBdr>
                                                    <w:top w:val="single" w:sz="2" w:space="0" w:color="auto"/>
                                                    <w:left w:val="single" w:sz="2" w:space="0" w:color="auto"/>
                                                    <w:bottom w:val="single" w:sz="2" w:space="0" w:color="auto"/>
                                                    <w:right w:val="single" w:sz="2" w:space="0" w:color="auto"/>
                                                  </w:divBdr>
                                                  <w:divsChild>
                                                    <w:div w:id="10423015">
                                                      <w:marLeft w:val="0"/>
                                                      <w:marRight w:val="0"/>
                                                      <w:marTop w:val="0"/>
                                                      <w:marBottom w:val="0"/>
                                                      <w:divBdr>
                                                        <w:top w:val="single" w:sz="2" w:space="0" w:color="auto"/>
                                                        <w:left w:val="single" w:sz="2" w:space="0" w:color="auto"/>
                                                        <w:bottom w:val="single" w:sz="2" w:space="0" w:color="auto"/>
                                                        <w:right w:val="single" w:sz="2" w:space="0" w:color="auto"/>
                                                      </w:divBdr>
                                                      <w:divsChild>
                                                        <w:div w:id="11310944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930428028">
          <w:marLeft w:val="0"/>
          <w:marRight w:val="0"/>
          <w:marTop w:val="0"/>
          <w:marBottom w:val="0"/>
          <w:divBdr>
            <w:top w:val="single" w:sz="2" w:space="0" w:color="auto"/>
            <w:left w:val="single" w:sz="2" w:space="0" w:color="auto"/>
            <w:bottom w:val="single" w:sz="2" w:space="0" w:color="auto"/>
            <w:right w:val="single" w:sz="2" w:space="0" w:color="auto"/>
          </w:divBdr>
          <w:divsChild>
            <w:div w:id="1033769376">
              <w:marLeft w:val="0"/>
              <w:marRight w:val="0"/>
              <w:marTop w:val="0"/>
              <w:marBottom w:val="0"/>
              <w:divBdr>
                <w:top w:val="single" w:sz="2" w:space="0" w:color="auto"/>
                <w:left w:val="single" w:sz="2" w:space="0" w:color="auto"/>
                <w:bottom w:val="single" w:sz="2" w:space="0" w:color="auto"/>
                <w:right w:val="single" w:sz="2" w:space="0" w:color="auto"/>
              </w:divBdr>
              <w:divsChild>
                <w:div w:id="104887539">
                  <w:marLeft w:val="0"/>
                  <w:marRight w:val="0"/>
                  <w:marTop w:val="0"/>
                  <w:marBottom w:val="0"/>
                  <w:divBdr>
                    <w:top w:val="single" w:sz="2" w:space="0" w:color="auto"/>
                    <w:left w:val="single" w:sz="2" w:space="0" w:color="auto"/>
                    <w:bottom w:val="single" w:sz="2" w:space="0" w:color="auto"/>
                    <w:right w:val="single" w:sz="2" w:space="0" w:color="auto"/>
                  </w:divBdr>
                  <w:divsChild>
                    <w:div w:id="1228228767">
                      <w:marLeft w:val="0"/>
                      <w:marRight w:val="0"/>
                      <w:marTop w:val="0"/>
                      <w:marBottom w:val="0"/>
                      <w:divBdr>
                        <w:top w:val="single" w:sz="2" w:space="0" w:color="auto"/>
                        <w:left w:val="single" w:sz="2" w:space="0" w:color="auto"/>
                        <w:bottom w:val="single" w:sz="2" w:space="0" w:color="auto"/>
                        <w:right w:val="single" w:sz="2" w:space="0" w:color="auto"/>
                      </w:divBdr>
                      <w:divsChild>
                        <w:div w:id="1586723330">
                          <w:marLeft w:val="0"/>
                          <w:marRight w:val="0"/>
                          <w:marTop w:val="0"/>
                          <w:marBottom w:val="0"/>
                          <w:divBdr>
                            <w:top w:val="single" w:sz="2" w:space="0" w:color="auto"/>
                            <w:left w:val="single" w:sz="2" w:space="0" w:color="auto"/>
                            <w:bottom w:val="single" w:sz="2" w:space="0" w:color="auto"/>
                            <w:right w:val="single" w:sz="2" w:space="0" w:color="auto"/>
                          </w:divBdr>
                          <w:divsChild>
                            <w:div w:id="986056520">
                              <w:marLeft w:val="0"/>
                              <w:marRight w:val="0"/>
                              <w:marTop w:val="0"/>
                              <w:marBottom w:val="0"/>
                              <w:divBdr>
                                <w:top w:val="single" w:sz="2" w:space="0" w:color="auto"/>
                                <w:left w:val="single" w:sz="2" w:space="0" w:color="auto"/>
                                <w:bottom w:val="single" w:sz="2" w:space="0" w:color="auto"/>
                                <w:right w:val="single" w:sz="2" w:space="0" w:color="auto"/>
                              </w:divBdr>
                              <w:divsChild>
                                <w:div w:id="1068117901">
                                  <w:marLeft w:val="0"/>
                                  <w:marRight w:val="0"/>
                                  <w:marTop w:val="0"/>
                                  <w:marBottom w:val="0"/>
                                  <w:divBdr>
                                    <w:top w:val="single" w:sz="2" w:space="0" w:color="auto"/>
                                    <w:left w:val="single" w:sz="2" w:space="0" w:color="auto"/>
                                    <w:bottom w:val="single" w:sz="2" w:space="0" w:color="auto"/>
                                    <w:right w:val="single" w:sz="2" w:space="0" w:color="auto"/>
                                  </w:divBdr>
                                  <w:divsChild>
                                    <w:div w:id="2059938740">
                                      <w:marLeft w:val="0"/>
                                      <w:marRight w:val="0"/>
                                      <w:marTop w:val="0"/>
                                      <w:marBottom w:val="0"/>
                                      <w:divBdr>
                                        <w:top w:val="single" w:sz="2" w:space="0" w:color="auto"/>
                                        <w:left w:val="single" w:sz="2" w:space="0" w:color="auto"/>
                                        <w:bottom w:val="single" w:sz="2" w:space="0" w:color="auto"/>
                                        <w:right w:val="single" w:sz="2" w:space="0" w:color="auto"/>
                                      </w:divBdr>
                                      <w:divsChild>
                                        <w:div w:id="1166090128">
                                          <w:marLeft w:val="0"/>
                                          <w:marRight w:val="0"/>
                                          <w:marTop w:val="0"/>
                                          <w:marBottom w:val="0"/>
                                          <w:divBdr>
                                            <w:top w:val="single" w:sz="2" w:space="0" w:color="auto"/>
                                            <w:left w:val="single" w:sz="2" w:space="0" w:color="auto"/>
                                            <w:bottom w:val="single" w:sz="2" w:space="0" w:color="auto"/>
                                            <w:right w:val="single" w:sz="2" w:space="0" w:color="auto"/>
                                          </w:divBdr>
                                          <w:divsChild>
                                            <w:div w:id="1642685192">
                                              <w:marLeft w:val="0"/>
                                              <w:marRight w:val="0"/>
                                              <w:marTop w:val="0"/>
                                              <w:marBottom w:val="0"/>
                                              <w:divBdr>
                                                <w:top w:val="single" w:sz="2" w:space="0" w:color="auto"/>
                                                <w:left w:val="single" w:sz="2" w:space="0" w:color="auto"/>
                                                <w:bottom w:val="single" w:sz="2" w:space="0" w:color="auto"/>
                                                <w:right w:val="single" w:sz="2" w:space="0" w:color="auto"/>
                                              </w:divBdr>
                                              <w:divsChild>
                                                <w:div w:id="44917399">
                                                  <w:marLeft w:val="0"/>
                                                  <w:marRight w:val="0"/>
                                                  <w:marTop w:val="0"/>
                                                  <w:marBottom w:val="0"/>
                                                  <w:divBdr>
                                                    <w:top w:val="single" w:sz="2" w:space="0" w:color="auto"/>
                                                    <w:left w:val="single" w:sz="2" w:space="0" w:color="auto"/>
                                                    <w:bottom w:val="single" w:sz="2" w:space="0" w:color="auto"/>
                                                    <w:right w:val="single" w:sz="2" w:space="0" w:color="auto"/>
                                                  </w:divBdr>
                                                  <w:divsChild>
                                                    <w:div w:id="1301614319">
                                                      <w:marLeft w:val="0"/>
                                                      <w:marRight w:val="0"/>
                                                      <w:marTop w:val="0"/>
                                                      <w:marBottom w:val="0"/>
                                                      <w:divBdr>
                                                        <w:top w:val="single" w:sz="2" w:space="0" w:color="auto"/>
                                                        <w:left w:val="single" w:sz="2" w:space="0" w:color="auto"/>
                                                        <w:bottom w:val="single" w:sz="2" w:space="0" w:color="auto"/>
                                                        <w:right w:val="single" w:sz="2" w:space="0" w:color="auto"/>
                                                      </w:divBdr>
                                                      <w:divsChild>
                                                        <w:div w:id="1071077971">
                                                          <w:marLeft w:val="0"/>
                                                          <w:marRight w:val="0"/>
                                                          <w:marTop w:val="0"/>
                                                          <w:marBottom w:val="0"/>
                                                          <w:divBdr>
                                                            <w:top w:val="single" w:sz="2" w:space="0" w:color="auto"/>
                                                            <w:left w:val="single" w:sz="2" w:space="0" w:color="auto"/>
                                                            <w:bottom w:val="single" w:sz="2" w:space="0" w:color="auto"/>
                                                            <w:right w:val="single" w:sz="2" w:space="0" w:color="auto"/>
                                                          </w:divBdr>
                                                          <w:divsChild>
                                                            <w:div w:id="2008367090">
                                                              <w:marLeft w:val="0"/>
                                                              <w:marRight w:val="0"/>
                                                              <w:marTop w:val="0"/>
                                                              <w:marBottom w:val="0"/>
                                                              <w:divBdr>
                                                                <w:top w:val="single" w:sz="2" w:space="0" w:color="auto"/>
                                                                <w:left w:val="single" w:sz="2" w:space="0" w:color="auto"/>
                                                                <w:bottom w:val="single" w:sz="2" w:space="0" w:color="auto"/>
                                                                <w:right w:val="single" w:sz="2" w:space="0" w:color="auto"/>
                                                              </w:divBdr>
                                                              <w:divsChild>
                                                                <w:div w:id="432169554">
                                                                  <w:marLeft w:val="0"/>
                                                                  <w:marRight w:val="0"/>
                                                                  <w:marTop w:val="0"/>
                                                                  <w:marBottom w:val="0"/>
                                                                  <w:divBdr>
                                                                    <w:top w:val="single" w:sz="2" w:space="0" w:color="auto"/>
                                                                    <w:left w:val="single" w:sz="2" w:space="0" w:color="auto"/>
                                                                    <w:bottom w:val="single" w:sz="2" w:space="0" w:color="auto"/>
                                                                    <w:right w:val="single" w:sz="2" w:space="0" w:color="auto"/>
                                                                  </w:divBdr>
                                                                  <w:divsChild>
                                                                    <w:div w:id="19784179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198618651">
                              <w:marLeft w:val="0"/>
                              <w:marRight w:val="0"/>
                              <w:marTop w:val="0"/>
                              <w:marBottom w:val="0"/>
                              <w:divBdr>
                                <w:top w:val="single" w:sz="2" w:space="0" w:color="auto"/>
                                <w:left w:val="single" w:sz="2" w:space="0" w:color="auto"/>
                                <w:bottom w:val="single" w:sz="2" w:space="0" w:color="auto"/>
                                <w:right w:val="single" w:sz="2" w:space="0" w:color="auto"/>
                              </w:divBdr>
                              <w:divsChild>
                                <w:div w:id="181091187">
                                  <w:marLeft w:val="0"/>
                                  <w:marRight w:val="0"/>
                                  <w:marTop w:val="0"/>
                                  <w:marBottom w:val="0"/>
                                  <w:divBdr>
                                    <w:top w:val="single" w:sz="2" w:space="0" w:color="auto"/>
                                    <w:left w:val="single" w:sz="2" w:space="0" w:color="auto"/>
                                    <w:bottom w:val="single" w:sz="2" w:space="0" w:color="auto"/>
                                    <w:right w:val="single" w:sz="2" w:space="0" w:color="auto"/>
                                  </w:divBdr>
                                  <w:divsChild>
                                    <w:div w:id="100102562">
                                      <w:marLeft w:val="0"/>
                                      <w:marRight w:val="0"/>
                                      <w:marTop w:val="0"/>
                                      <w:marBottom w:val="0"/>
                                      <w:divBdr>
                                        <w:top w:val="single" w:sz="2" w:space="0" w:color="auto"/>
                                        <w:left w:val="single" w:sz="2" w:space="0" w:color="auto"/>
                                        <w:bottom w:val="single" w:sz="2" w:space="0" w:color="auto"/>
                                        <w:right w:val="single" w:sz="2" w:space="0" w:color="auto"/>
                                      </w:divBdr>
                                      <w:divsChild>
                                        <w:div w:id="53241293">
                                          <w:marLeft w:val="0"/>
                                          <w:marRight w:val="0"/>
                                          <w:marTop w:val="0"/>
                                          <w:marBottom w:val="0"/>
                                          <w:divBdr>
                                            <w:top w:val="single" w:sz="2" w:space="0" w:color="auto"/>
                                            <w:left w:val="single" w:sz="2" w:space="0" w:color="auto"/>
                                            <w:bottom w:val="single" w:sz="2" w:space="0" w:color="auto"/>
                                            <w:right w:val="single" w:sz="2" w:space="0" w:color="auto"/>
                                          </w:divBdr>
                                          <w:divsChild>
                                            <w:div w:id="718556646">
                                              <w:marLeft w:val="0"/>
                                              <w:marRight w:val="0"/>
                                              <w:marTop w:val="0"/>
                                              <w:marBottom w:val="0"/>
                                              <w:divBdr>
                                                <w:top w:val="single" w:sz="2" w:space="0" w:color="auto"/>
                                                <w:left w:val="single" w:sz="2" w:space="0" w:color="auto"/>
                                                <w:bottom w:val="single" w:sz="2" w:space="0" w:color="auto"/>
                                                <w:right w:val="single" w:sz="2" w:space="0" w:color="auto"/>
                                              </w:divBdr>
                                              <w:divsChild>
                                                <w:div w:id="1849053584">
                                                  <w:marLeft w:val="0"/>
                                                  <w:marRight w:val="0"/>
                                                  <w:marTop w:val="0"/>
                                                  <w:marBottom w:val="0"/>
                                                  <w:divBdr>
                                                    <w:top w:val="single" w:sz="2" w:space="0" w:color="auto"/>
                                                    <w:left w:val="single" w:sz="2" w:space="0" w:color="auto"/>
                                                    <w:bottom w:val="single" w:sz="2" w:space="0" w:color="auto"/>
                                                    <w:right w:val="single" w:sz="2" w:space="0" w:color="auto"/>
                                                  </w:divBdr>
                                                  <w:divsChild>
                                                    <w:div w:id="2130316822">
                                                      <w:marLeft w:val="0"/>
                                                      <w:marRight w:val="0"/>
                                                      <w:marTop w:val="0"/>
                                                      <w:marBottom w:val="0"/>
                                                      <w:divBdr>
                                                        <w:top w:val="single" w:sz="2" w:space="0" w:color="auto"/>
                                                        <w:left w:val="single" w:sz="2" w:space="0" w:color="auto"/>
                                                        <w:bottom w:val="single" w:sz="2" w:space="0" w:color="auto"/>
                                                        <w:right w:val="single" w:sz="2" w:space="0" w:color="auto"/>
                                                      </w:divBdr>
                                                      <w:divsChild>
                                                        <w:div w:id="14340857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283315757">
      <w:bodyDiv w:val="1"/>
      <w:marLeft w:val="0"/>
      <w:marRight w:val="0"/>
      <w:marTop w:val="0"/>
      <w:marBottom w:val="0"/>
      <w:divBdr>
        <w:top w:val="none" w:sz="0" w:space="0" w:color="auto"/>
        <w:left w:val="none" w:sz="0" w:space="0" w:color="auto"/>
        <w:bottom w:val="none" w:sz="0" w:space="0" w:color="auto"/>
        <w:right w:val="none" w:sz="0" w:space="0" w:color="auto"/>
      </w:divBdr>
    </w:div>
    <w:div w:id="641349539">
      <w:bodyDiv w:val="1"/>
      <w:marLeft w:val="0"/>
      <w:marRight w:val="0"/>
      <w:marTop w:val="0"/>
      <w:marBottom w:val="0"/>
      <w:divBdr>
        <w:top w:val="none" w:sz="0" w:space="0" w:color="auto"/>
        <w:left w:val="none" w:sz="0" w:space="0" w:color="auto"/>
        <w:bottom w:val="none" w:sz="0" w:space="0" w:color="auto"/>
        <w:right w:val="none" w:sz="0" w:space="0" w:color="auto"/>
      </w:divBdr>
    </w:div>
    <w:div w:id="724523039">
      <w:bodyDiv w:val="1"/>
      <w:marLeft w:val="0"/>
      <w:marRight w:val="0"/>
      <w:marTop w:val="0"/>
      <w:marBottom w:val="0"/>
      <w:divBdr>
        <w:top w:val="none" w:sz="0" w:space="0" w:color="auto"/>
        <w:left w:val="none" w:sz="0" w:space="0" w:color="auto"/>
        <w:bottom w:val="none" w:sz="0" w:space="0" w:color="auto"/>
        <w:right w:val="none" w:sz="0" w:space="0" w:color="auto"/>
      </w:divBdr>
    </w:div>
    <w:div w:id="1615793631">
      <w:bodyDiv w:val="1"/>
      <w:marLeft w:val="0"/>
      <w:marRight w:val="0"/>
      <w:marTop w:val="0"/>
      <w:marBottom w:val="0"/>
      <w:divBdr>
        <w:top w:val="none" w:sz="0" w:space="0" w:color="auto"/>
        <w:left w:val="none" w:sz="0" w:space="0" w:color="auto"/>
        <w:bottom w:val="none" w:sz="0" w:space="0" w:color="auto"/>
        <w:right w:val="none" w:sz="0" w:space="0" w:color="auto"/>
      </w:divBdr>
      <w:divsChild>
        <w:div w:id="124133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19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36695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9871937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13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07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87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69071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246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04003">
          <w:blockQuote w:val="1"/>
          <w:marLeft w:val="720"/>
          <w:marRight w:val="720"/>
          <w:marTop w:val="100"/>
          <w:marBottom w:val="100"/>
          <w:divBdr>
            <w:top w:val="none" w:sz="0" w:space="0" w:color="auto"/>
            <w:left w:val="none" w:sz="0" w:space="0" w:color="auto"/>
            <w:bottom w:val="none" w:sz="0" w:space="0" w:color="auto"/>
            <w:right w:val="none" w:sz="0" w:space="0" w:color="auto"/>
          </w:divBdr>
        </w:div>
        <w:div w:id="60713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2145</Words>
  <Characters>11802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2026-02-14T15:42:00Z</dcterms:created>
  <dcterms:modified xsi:type="dcterms:W3CDTF">2026-02-14T17:03:00Z</dcterms:modified>
</cp:coreProperties>
</file>