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69" w:rsidRPr="000A3869" w:rsidRDefault="000A3869" w:rsidP="000A3869">
      <w:pPr>
        <w:bidi/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0A3869" w:rsidRPr="000A3869" w:rsidRDefault="000A3869" w:rsidP="000A3869">
      <w:pPr>
        <w:bidi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0A3869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rtl/>
        </w:rPr>
        <w:t>محاضرة: التسيير الإلكتروني للأرشيف - المفهوم، الآليات والتحديات</w:t>
      </w:r>
    </w:p>
    <w:p w:rsidR="000A3869" w:rsidRPr="000A3869" w:rsidRDefault="000A3869" w:rsidP="000A3869">
      <w:pPr>
        <w:bidi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مقدمة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</w:p>
    <w:p w:rsidR="000A3869" w:rsidRPr="000A3869" w:rsidRDefault="000A3869" w:rsidP="000A3869">
      <w:pPr>
        <w:bidi/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في ظل التحول نحو "الإدارة الإلكترونية"، انتقل الأرشيف من شكله الورقي التقليدي إلى وسائط رقمية. التسيير الإلكتروني للأرشيف ليس مجرد تخزين للملفات، بل هو منظومة متكاملة تهدف إلى </w:t>
      </w:r>
      <w:proofErr w:type="spellStart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رقمنة</w:t>
      </w:r>
      <w:proofErr w:type="spellEnd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دورة حياة الوثيقة لتسريع الأداء وضمان الحفظ طويل المدى.</w:t>
      </w:r>
    </w:p>
    <w:p w:rsidR="000A3869" w:rsidRPr="000A3869" w:rsidRDefault="000A3869" w:rsidP="000A3869">
      <w:pPr>
        <w:bidi/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0A3869" w:rsidRPr="000A3869" w:rsidRDefault="000A3869" w:rsidP="000A3869">
      <w:pPr>
        <w:bidi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المحور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الأول: مفهوم التسيير الإلكتروني للوثائق والأرشيف</w:t>
      </w:r>
    </w:p>
    <w:p w:rsidR="000A3869" w:rsidRPr="000A3869" w:rsidRDefault="000A3869" w:rsidP="000A3869">
      <w:pPr>
        <w:numPr>
          <w:ilvl w:val="0"/>
          <w:numId w:val="1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تعريف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(</w:t>
      </w: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GED/GEA</w:t>
      </w: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هو مجموعة من الأدوات والتقنيات البرمجية التي تسمح بتنظيم، تسيير، حفظ، واسترجاع الوثائق والأرصدة الأرشيفية آلياً.</w:t>
      </w:r>
    </w:p>
    <w:p w:rsidR="000A3869" w:rsidRPr="000A3869" w:rsidRDefault="000A3869" w:rsidP="000A3869">
      <w:pPr>
        <w:numPr>
          <w:ilvl w:val="0"/>
          <w:numId w:val="1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الفرق بين </w:t>
      </w:r>
      <w:proofErr w:type="spell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الرقمنة</w:t>
      </w:r>
      <w:proofErr w:type="spell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والتسيير الإلكتروني: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proofErr w:type="spellStart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الرقمنة</w:t>
      </w:r>
      <w:proofErr w:type="spellEnd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هي مجرد عملية مسح ضوئي للورق، أما التسيير الإلكتروني فهو النظام الذي يدير هذه النسخ الرقمية ويربطها بقواعد بيانات ذكية.</w:t>
      </w:r>
    </w:p>
    <w:p w:rsidR="000A3869" w:rsidRPr="000A3869" w:rsidRDefault="000A3869" w:rsidP="000A3869">
      <w:pPr>
        <w:bidi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المحور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الثاني: أهداف ومزايا التسيير الإلكتروني</w:t>
      </w:r>
    </w:p>
    <w:p w:rsidR="000A3869" w:rsidRPr="000A3869" w:rsidRDefault="000A3869" w:rsidP="000A3869">
      <w:pPr>
        <w:numPr>
          <w:ilvl w:val="0"/>
          <w:numId w:val="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سرعة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الاسترجاع: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الوصول إلى أي وثيقة في ثوانٍ معدودة دون الحاجة للتنقل المادي للمخازن.</w:t>
      </w:r>
    </w:p>
    <w:p w:rsidR="000A3869" w:rsidRPr="000A3869" w:rsidRDefault="000A3869" w:rsidP="000A3869">
      <w:pPr>
        <w:numPr>
          <w:ilvl w:val="0"/>
          <w:numId w:val="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الحماية من التلف: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الحفاظ على الأصول الورقية من كثرة التداول عبر استخدام "النسخة الرقمية".</w:t>
      </w:r>
    </w:p>
    <w:p w:rsidR="000A3869" w:rsidRPr="000A3869" w:rsidRDefault="000A3869" w:rsidP="000A3869">
      <w:pPr>
        <w:numPr>
          <w:ilvl w:val="0"/>
          <w:numId w:val="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ربح المساحة: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تقليص الحجم الهائل للمستودعات الورقية.</w:t>
      </w:r>
    </w:p>
    <w:p w:rsidR="000A3869" w:rsidRPr="000A3869" w:rsidRDefault="000A3869" w:rsidP="000A3869">
      <w:pPr>
        <w:numPr>
          <w:ilvl w:val="0"/>
          <w:numId w:val="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العمل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الجماعي: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إمكانية إطلاع أكثر من مستخدم على نفس الوثيقة في آن واحد.</w:t>
      </w:r>
    </w:p>
    <w:p w:rsidR="000A3869" w:rsidRPr="000A3869" w:rsidRDefault="000A3869" w:rsidP="000A3869">
      <w:pPr>
        <w:bidi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المحور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الثالث: مراحل المعالجة الإلكترونية للأرشيف</w:t>
      </w:r>
    </w:p>
    <w:p w:rsidR="000A3869" w:rsidRPr="000A3869" w:rsidRDefault="000A3869" w:rsidP="000A3869">
      <w:pPr>
        <w:bidi/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تمر الوثيقة في نظام التسيير الإلكتروني بأربع مراحل أساسية:</w:t>
      </w:r>
    </w:p>
    <w:p w:rsidR="000A3869" w:rsidRPr="000A3869" w:rsidRDefault="000A3869" w:rsidP="000A3869">
      <w:pPr>
        <w:numPr>
          <w:ilvl w:val="0"/>
          <w:numId w:val="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الاقتناء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والإدخال (</w:t>
      </w: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Acquisition</w:t>
      </w: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</w:p>
    <w:p w:rsidR="000A3869" w:rsidRPr="000A3869" w:rsidRDefault="000A3869" w:rsidP="000A3869">
      <w:pPr>
        <w:numPr>
          <w:ilvl w:val="1"/>
          <w:numId w:val="3"/>
        </w:numPr>
        <w:bidi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عن طريق المسح الضوئي (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</w:rPr>
        <w:t>Scanner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 للوثائق الورقية.</w:t>
      </w:r>
    </w:p>
    <w:p w:rsidR="000A3869" w:rsidRPr="000A3869" w:rsidRDefault="000A3869" w:rsidP="000A3869">
      <w:pPr>
        <w:numPr>
          <w:ilvl w:val="1"/>
          <w:numId w:val="3"/>
        </w:numPr>
        <w:bidi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أو استيراد الملفات المنشأة أصلاً بشكل رقمي (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</w:rPr>
        <w:t>E-mails, PDF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).</w:t>
      </w:r>
    </w:p>
    <w:p w:rsidR="000A3869" w:rsidRPr="000A3869" w:rsidRDefault="000A3869" w:rsidP="000A3869">
      <w:pPr>
        <w:numPr>
          <w:ilvl w:val="0"/>
          <w:numId w:val="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spell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التكشيف</w:t>
      </w:r>
      <w:proofErr w:type="spell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والوصف (</w:t>
      </w: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Indexing</w:t>
      </w: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</w:p>
    <w:p w:rsidR="000A3869" w:rsidRPr="000A3869" w:rsidRDefault="000A3869" w:rsidP="000A3869">
      <w:pPr>
        <w:numPr>
          <w:ilvl w:val="1"/>
          <w:numId w:val="3"/>
        </w:numPr>
        <w:bidi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استخراج "الكلمات </w:t>
      </w:r>
      <w:proofErr w:type="spellStart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المفتاحية</w:t>
      </w:r>
      <w:proofErr w:type="spellEnd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" والبيانات الوصفية (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</w:rPr>
        <w:t>Metadata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 لكل وثيقة (العنوان، التاريخ، الرقم) ليسهل البحث عنها لاحقاً.</w:t>
      </w:r>
    </w:p>
    <w:p w:rsidR="000A3869" w:rsidRPr="000A3869" w:rsidRDefault="000A3869" w:rsidP="000A3869">
      <w:pPr>
        <w:numPr>
          <w:ilvl w:val="0"/>
          <w:numId w:val="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الحفظ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والتخزين (</w:t>
      </w: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Storage</w:t>
      </w: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</w:p>
    <w:p w:rsidR="000A3869" w:rsidRPr="000A3869" w:rsidRDefault="000A3869" w:rsidP="000A3869">
      <w:pPr>
        <w:numPr>
          <w:ilvl w:val="1"/>
          <w:numId w:val="3"/>
        </w:numPr>
        <w:bidi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اختيار وسائط تخزين آمنة (</w:t>
      </w:r>
      <w:proofErr w:type="spellStart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خوادم</w:t>
      </w:r>
      <w:proofErr w:type="spellEnd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، أقراص صلبة، سحابة إلكترونية) مع ضمان وجود نسخ احتياطية (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</w:rPr>
        <w:t>Backup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).</w:t>
      </w:r>
    </w:p>
    <w:p w:rsidR="000A3869" w:rsidRPr="000A3869" w:rsidRDefault="000A3869" w:rsidP="000A3869">
      <w:pPr>
        <w:numPr>
          <w:ilvl w:val="0"/>
          <w:numId w:val="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البحث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والاسترجاع (</w:t>
      </w: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Retrieval</w:t>
      </w: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</w:p>
    <w:p w:rsidR="000A3869" w:rsidRPr="000A3869" w:rsidRDefault="000A3869" w:rsidP="000A3869">
      <w:pPr>
        <w:numPr>
          <w:ilvl w:val="1"/>
          <w:numId w:val="3"/>
        </w:numPr>
        <w:bidi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استخدام محركات بحث داخلية للوصول للمعلومة بناءً على الواصفات التي وضعت في مرحلة </w:t>
      </w:r>
      <w:proofErr w:type="spellStart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التكشيف</w:t>
      </w:r>
      <w:proofErr w:type="spellEnd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.</w:t>
      </w:r>
    </w:p>
    <w:p w:rsidR="000A3869" w:rsidRPr="000A3869" w:rsidRDefault="000A3869" w:rsidP="000A3869">
      <w:pPr>
        <w:bidi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المحور الرابع: تحديات التحول الرقمي للأرشيف</w:t>
      </w:r>
    </w:p>
    <w:p w:rsidR="000A3869" w:rsidRPr="000A3869" w:rsidRDefault="000A3869" w:rsidP="000A3869">
      <w:pPr>
        <w:numPr>
          <w:ilvl w:val="0"/>
          <w:numId w:val="4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التحدي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القانوني: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مدى حجية الوثيقة الإلكترونية أمام القضاء مقارنة بالورق (التوقيع الإلكتروني).</w:t>
      </w:r>
    </w:p>
    <w:p w:rsidR="000A3869" w:rsidRPr="000A3869" w:rsidRDefault="000A3869" w:rsidP="000A3869">
      <w:pPr>
        <w:numPr>
          <w:ilvl w:val="0"/>
          <w:numId w:val="4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التحدي </w:t>
      </w: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التقني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سرعة تقادم البرمجيات والوسائط (مشكلة قراءة الملفات بعد 10 أو 20 سنة).</w:t>
      </w:r>
    </w:p>
    <w:p w:rsidR="000A3869" w:rsidRPr="000A3869" w:rsidRDefault="000A3869" w:rsidP="000A3869">
      <w:pPr>
        <w:numPr>
          <w:ilvl w:val="0"/>
          <w:numId w:val="4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التحدي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الأمني:</w:t>
      </w: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حماية الأرصدة الرقمية من الاختراق، الفيروسات، أو الحذف غير المصرح </w:t>
      </w:r>
      <w:proofErr w:type="spellStart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به</w:t>
      </w:r>
      <w:proofErr w:type="spellEnd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.</w:t>
      </w:r>
    </w:p>
    <w:p w:rsidR="000A3869" w:rsidRPr="000A3869" w:rsidRDefault="000A3869" w:rsidP="000A3869">
      <w:pPr>
        <w:bidi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proofErr w:type="gramStart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lastRenderedPageBreak/>
        <w:t>الخلاصة</w:t>
      </w:r>
      <w:proofErr w:type="gramEnd"/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</w:p>
    <w:p w:rsidR="000A3869" w:rsidRPr="000A3869" w:rsidRDefault="000A3869" w:rsidP="000A3869">
      <w:pPr>
        <w:bidi/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إن التسيير الإلكتروني للأرشيف هو العمود الفقري للإدارة الحديثة، وهو لا يلغي دور الأرشيفي بل يطوره؛ فبدون "المعالجة العلمية" (التصنيف والترتيب) التي يقوم </w:t>
      </w:r>
      <w:proofErr w:type="spellStart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بها</w:t>
      </w:r>
      <w:proofErr w:type="spellEnd"/>
      <w:r w:rsidRPr="000A3869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الأرشيفي، يتحول النظام الإلكتروني إلى مجرد "مقبرة رقمية" يصعب البحث فيها.</w:t>
      </w:r>
    </w:p>
    <w:p w:rsidR="000A3869" w:rsidRPr="000A3869" w:rsidRDefault="000A3869" w:rsidP="000A3869">
      <w:pPr>
        <w:bidi/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0A3869" w:rsidRPr="000A3869" w:rsidRDefault="000A3869" w:rsidP="000A3869">
      <w:p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أهم المراجع المعتمدة في المحاضرة:</w:t>
      </w:r>
    </w:p>
    <w:p w:rsidR="000A3869" w:rsidRPr="000A3869" w:rsidRDefault="000A3869" w:rsidP="000A3869">
      <w:pPr>
        <w:numPr>
          <w:ilvl w:val="0"/>
          <w:numId w:val="5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 xml:space="preserve">د. عبد المالك بن </w:t>
      </w:r>
      <w:proofErr w:type="spellStart"/>
      <w:r w:rsidRPr="000A3869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السبتي</w:t>
      </w:r>
      <w:proofErr w:type="spellEnd"/>
      <w:r w:rsidRPr="000A3869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، "التسيير الإلكتروني للوثائق".</w:t>
      </w:r>
    </w:p>
    <w:p w:rsidR="000A3869" w:rsidRPr="000A3869" w:rsidRDefault="000A3869" w:rsidP="000A3869">
      <w:pPr>
        <w:numPr>
          <w:ilvl w:val="0"/>
          <w:numId w:val="5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 xml:space="preserve">د. </w:t>
      </w:r>
      <w:proofErr w:type="spellStart"/>
      <w:r w:rsidRPr="000A3869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ختير</w:t>
      </w:r>
      <w:proofErr w:type="spellEnd"/>
      <w:r w:rsidRPr="000A3869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 xml:space="preserve"> فوزية فاطمة، "الإدارة الإلكترونية ومستقبل الأرشيف الرقمي في الجزائر".</w:t>
      </w:r>
    </w:p>
    <w:p w:rsidR="000A3869" w:rsidRPr="000A3869" w:rsidRDefault="000A3869" w:rsidP="000A3869">
      <w:pPr>
        <w:numPr>
          <w:ilvl w:val="0"/>
          <w:numId w:val="5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0A3869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 xml:space="preserve">دراسة حالة: أرشيف الصندوق الوطني للتقاعد (وكالة </w:t>
      </w:r>
      <w:proofErr w:type="spellStart"/>
      <w:r w:rsidRPr="000A3869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أدرار</w:t>
      </w:r>
      <w:proofErr w:type="spellEnd"/>
      <w:r w:rsidRPr="000A3869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).</w:t>
      </w:r>
    </w:p>
    <w:p w:rsidR="00C70FB2" w:rsidRDefault="00C70FB2" w:rsidP="000A3869">
      <w:pPr>
        <w:bidi/>
      </w:pPr>
    </w:p>
    <w:sectPr w:rsidR="00C70FB2" w:rsidSect="00C7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0298"/>
    <w:multiLevelType w:val="multilevel"/>
    <w:tmpl w:val="465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B20C0"/>
    <w:multiLevelType w:val="multilevel"/>
    <w:tmpl w:val="15D6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32CF9"/>
    <w:multiLevelType w:val="multilevel"/>
    <w:tmpl w:val="200C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7B0EC1"/>
    <w:multiLevelType w:val="multilevel"/>
    <w:tmpl w:val="46C4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5660E"/>
    <w:multiLevelType w:val="multilevel"/>
    <w:tmpl w:val="ED56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869"/>
    <w:rsid w:val="000A3869"/>
    <w:rsid w:val="00C7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FB2"/>
  </w:style>
  <w:style w:type="paragraph" w:styleId="Titre3">
    <w:name w:val="heading 3"/>
    <w:basedOn w:val="Normal"/>
    <w:link w:val="Titre3Car"/>
    <w:uiPriority w:val="9"/>
    <w:qFormat/>
    <w:rsid w:val="000A38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0A38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A38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0A38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nadjib</dc:creator>
  <cp:lastModifiedBy>nadjib</cp:lastModifiedBy>
  <cp:revision>1</cp:revision>
  <dcterms:created xsi:type="dcterms:W3CDTF">2026-01-02T19:42:00Z</dcterms:created>
  <dcterms:modified xsi:type="dcterms:W3CDTF">2026-01-02T19:44:00Z</dcterms:modified>
</cp:coreProperties>
</file>