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D1AC" w14:textId="5E310907" w:rsidR="00CA266E" w:rsidRPr="00C87222" w:rsidRDefault="00872965"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L’histoire de la traduction2</w:t>
      </w:r>
    </w:p>
    <w:p w14:paraId="5E152469" w14:textId="4AFE93A6" w:rsidR="00872965" w:rsidRPr="00C87222" w:rsidRDefault="00EA5A42"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2-</w:t>
      </w:r>
      <w:r w:rsidR="00872965" w:rsidRPr="00C87222">
        <w:rPr>
          <w:rFonts w:asciiTheme="majorBidi" w:hAnsiTheme="majorBidi" w:cstheme="majorBidi"/>
          <w:b/>
          <w:bCs/>
          <w:sz w:val="32"/>
          <w:szCs w:val="32"/>
        </w:rPr>
        <w:t>Le Moyen Âge : Foi et savoir</w:t>
      </w:r>
    </w:p>
    <w:p w14:paraId="45E36A02" w14:textId="1D75DB7A" w:rsidR="00872965" w:rsidRPr="00C87222" w:rsidRDefault="00872965"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Les traducteurs arabes :</w:t>
      </w:r>
    </w:p>
    <w:p w14:paraId="729733E5" w14:textId="693EE05C" w:rsidR="00912C47" w:rsidRPr="00C87222" w:rsidRDefault="00912C47" w:rsidP="00604B50">
      <w:pPr>
        <w:jc w:val="both"/>
        <w:rPr>
          <w:rFonts w:asciiTheme="majorBidi" w:hAnsiTheme="majorBidi" w:cstheme="majorBidi"/>
          <w:sz w:val="32"/>
          <w:szCs w:val="32"/>
        </w:rPr>
      </w:pPr>
      <w:r w:rsidRPr="00C87222">
        <w:rPr>
          <w:rFonts w:asciiTheme="majorBidi" w:hAnsiTheme="majorBidi" w:cstheme="majorBidi"/>
          <w:sz w:val="32"/>
          <w:szCs w:val="32"/>
        </w:rPr>
        <w:t xml:space="preserve">Pendant l’âge d’or </w:t>
      </w:r>
      <w:proofErr w:type="gramStart"/>
      <w:r w:rsidRPr="00C87222">
        <w:rPr>
          <w:rFonts w:asciiTheme="majorBidi" w:hAnsiTheme="majorBidi" w:cstheme="majorBidi"/>
          <w:sz w:val="32"/>
          <w:szCs w:val="32"/>
        </w:rPr>
        <w:t>islamique ,</w:t>
      </w:r>
      <w:proofErr w:type="gramEnd"/>
      <w:r w:rsidRPr="00C87222">
        <w:rPr>
          <w:rFonts w:asciiTheme="majorBidi" w:hAnsiTheme="majorBidi" w:cstheme="majorBidi"/>
          <w:sz w:val="32"/>
          <w:szCs w:val="32"/>
        </w:rPr>
        <w:t xml:space="preserve"> le Bayt al-Hikma (Maison de la Sagesse) à Bagdad était un centre de traduction majeur. Des savants comme Hunayn ibn Ishaq ont traduit en arabe une immense quantité d’œuvres scientifiques et philosophiques grecques (Aristote, Platon, Galien), qu’ils ont commentées et enrichies.</w:t>
      </w:r>
    </w:p>
    <w:p w14:paraId="17A81C83" w14:textId="4A25FA26" w:rsidR="00912C47" w:rsidRPr="00C87222" w:rsidRDefault="00912C47"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 xml:space="preserve">L’Europe médiévale : </w:t>
      </w:r>
    </w:p>
    <w:p w14:paraId="7B87F659" w14:textId="7DFA46BF" w:rsidR="00912C47" w:rsidRPr="00C87222" w:rsidRDefault="00912C47" w:rsidP="00604B50">
      <w:pPr>
        <w:jc w:val="both"/>
        <w:rPr>
          <w:rFonts w:asciiTheme="majorBidi" w:hAnsiTheme="majorBidi" w:cstheme="majorBidi"/>
          <w:sz w:val="32"/>
          <w:szCs w:val="32"/>
        </w:rPr>
      </w:pPr>
      <w:r w:rsidRPr="00C87222">
        <w:rPr>
          <w:rFonts w:asciiTheme="majorBidi" w:hAnsiTheme="majorBidi" w:cstheme="majorBidi"/>
          <w:sz w:val="32"/>
          <w:szCs w:val="32"/>
        </w:rPr>
        <w:t>La Vulgate de Saint Jérôme</w:t>
      </w:r>
    </w:p>
    <w:p w14:paraId="0E02E317" w14:textId="0A2490E8" w:rsidR="00912C47" w:rsidRPr="00C87222" w:rsidRDefault="00912C47"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L’école de Tolède</w:t>
      </w:r>
      <w:r w:rsidR="00EB16F6" w:rsidRPr="00C87222">
        <w:rPr>
          <w:rFonts w:asciiTheme="majorBidi" w:hAnsiTheme="majorBidi" w:cstheme="majorBidi"/>
          <w:b/>
          <w:bCs/>
          <w:sz w:val="32"/>
          <w:szCs w:val="32"/>
        </w:rPr>
        <w:t> :</w:t>
      </w:r>
    </w:p>
    <w:p w14:paraId="6E4A95CC" w14:textId="105D61B8" w:rsidR="00EB16F6" w:rsidRPr="00C87222" w:rsidRDefault="00EB16F6" w:rsidP="00604B50">
      <w:pPr>
        <w:jc w:val="both"/>
        <w:rPr>
          <w:rFonts w:asciiTheme="majorBidi" w:hAnsiTheme="majorBidi" w:cstheme="majorBidi"/>
          <w:sz w:val="32"/>
          <w:szCs w:val="32"/>
        </w:rPr>
      </w:pPr>
      <w:r w:rsidRPr="00C87222">
        <w:rPr>
          <w:rFonts w:asciiTheme="majorBidi" w:hAnsiTheme="majorBidi" w:cstheme="majorBidi"/>
          <w:sz w:val="32"/>
          <w:szCs w:val="32"/>
        </w:rPr>
        <w:t>Point de rencontre des cultures arabes, juive et chrétienne, cette école a joué un rôle</w:t>
      </w:r>
      <w:r w:rsidR="00EA5A42" w:rsidRPr="00C87222">
        <w:rPr>
          <w:rFonts w:asciiTheme="majorBidi" w:hAnsiTheme="majorBidi" w:cstheme="majorBidi"/>
          <w:sz w:val="32"/>
          <w:szCs w:val="32"/>
        </w:rPr>
        <w:t xml:space="preserve"> crucial. Des équipes de traducteurs y ont travaillé pour traduire de l’arabe vers le latin les textes scientifiques et philosophiques préservés et développés par le monde islamique. Ces traductions ont permis ainsi la redécouverte d’Aristote en Europe, alimentant la Renaissance du XIIe siècle et la scolastique.</w:t>
      </w:r>
    </w:p>
    <w:p w14:paraId="10E58FF9" w14:textId="2444EA76" w:rsidR="00EA5A42" w:rsidRPr="00C87222" w:rsidRDefault="00EA5A42"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3-</w:t>
      </w:r>
      <w:r w:rsidR="00C87222" w:rsidRPr="00C87222">
        <w:rPr>
          <w:rFonts w:asciiTheme="majorBidi" w:hAnsiTheme="majorBidi" w:cstheme="majorBidi"/>
          <w:b/>
          <w:bCs/>
          <w:sz w:val="32"/>
          <w:szCs w:val="32"/>
        </w:rPr>
        <w:t>La Renaissance et la Réforme : L’émergence des langues vernaculaires</w:t>
      </w:r>
    </w:p>
    <w:p w14:paraId="69BE07EE" w14:textId="6E380991" w:rsidR="00C87222" w:rsidRPr="00C87222" w:rsidRDefault="00C87222"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-L’invention de l’imprimerie :</w:t>
      </w:r>
    </w:p>
    <w:p w14:paraId="3BA22837" w14:textId="4C5B9AEB" w:rsidR="00C87222" w:rsidRPr="00C87222" w:rsidRDefault="00C87222" w:rsidP="00604B50">
      <w:pPr>
        <w:jc w:val="both"/>
        <w:rPr>
          <w:rFonts w:asciiTheme="majorBidi" w:hAnsiTheme="majorBidi" w:cstheme="majorBidi"/>
          <w:b/>
          <w:bCs/>
          <w:sz w:val="32"/>
          <w:szCs w:val="32"/>
        </w:rPr>
      </w:pPr>
      <w:r w:rsidRPr="00C87222">
        <w:rPr>
          <w:rFonts w:asciiTheme="majorBidi" w:hAnsiTheme="majorBidi" w:cstheme="majorBidi"/>
          <w:b/>
          <w:bCs/>
          <w:sz w:val="32"/>
          <w:szCs w:val="32"/>
        </w:rPr>
        <w:t>-Les traductions de la Bible :</w:t>
      </w:r>
    </w:p>
    <w:p w14:paraId="1B32E353" w14:textId="7D3F5259" w:rsidR="00C87222" w:rsidRPr="00C87222" w:rsidRDefault="00C87222" w:rsidP="00604B50">
      <w:pPr>
        <w:jc w:val="both"/>
        <w:rPr>
          <w:rFonts w:asciiTheme="majorBidi" w:hAnsiTheme="majorBidi" w:cstheme="majorBidi"/>
          <w:sz w:val="32"/>
          <w:szCs w:val="32"/>
        </w:rPr>
      </w:pPr>
      <w:r w:rsidRPr="00C87222">
        <w:rPr>
          <w:rFonts w:asciiTheme="majorBidi" w:hAnsiTheme="majorBidi" w:cstheme="majorBidi"/>
          <w:sz w:val="32"/>
          <w:szCs w:val="32"/>
        </w:rPr>
        <w:t>1-Martin Luther</w:t>
      </w:r>
    </w:p>
    <w:p w14:paraId="1D6DBF7C" w14:textId="54504E5A" w:rsidR="00C87222" w:rsidRPr="00C87222" w:rsidRDefault="00C87222" w:rsidP="00604B50">
      <w:pPr>
        <w:jc w:val="both"/>
        <w:rPr>
          <w:rFonts w:asciiTheme="majorBidi" w:hAnsiTheme="majorBidi" w:cstheme="majorBidi"/>
          <w:sz w:val="32"/>
          <w:szCs w:val="32"/>
        </w:rPr>
      </w:pPr>
      <w:r w:rsidRPr="00C87222">
        <w:rPr>
          <w:rFonts w:asciiTheme="majorBidi" w:hAnsiTheme="majorBidi" w:cstheme="majorBidi"/>
          <w:sz w:val="32"/>
          <w:szCs w:val="32"/>
        </w:rPr>
        <w:t xml:space="preserve">2- </w:t>
      </w:r>
      <w:proofErr w:type="spellStart"/>
      <w:r w:rsidRPr="00C87222">
        <w:rPr>
          <w:rFonts w:asciiTheme="majorBidi" w:hAnsiTheme="majorBidi" w:cstheme="majorBidi"/>
          <w:sz w:val="32"/>
          <w:szCs w:val="32"/>
        </w:rPr>
        <w:t>king</w:t>
      </w:r>
      <w:proofErr w:type="spellEnd"/>
      <w:r w:rsidRPr="00C87222">
        <w:rPr>
          <w:rFonts w:asciiTheme="majorBidi" w:hAnsiTheme="majorBidi" w:cstheme="majorBidi"/>
          <w:sz w:val="32"/>
          <w:szCs w:val="32"/>
        </w:rPr>
        <w:t xml:space="preserve"> James</w:t>
      </w:r>
    </w:p>
    <w:p w14:paraId="1FC147C9" w14:textId="63C5FF1E" w:rsidR="00EA5A42" w:rsidRPr="00C87222" w:rsidRDefault="00EA5A42" w:rsidP="00604B50">
      <w:pPr>
        <w:jc w:val="both"/>
        <w:rPr>
          <w:rFonts w:asciiTheme="majorBidi" w:hAnsiTheme="majorBidi" w:cstheme="majorBidi"/>
          <w:sz w:val="32"/>
          <w:szCs w:val="32"/>
        </w:rPr>
      </w:pPr>
    </w:p>
    <w:p w14:paraId="1C8110C3" w14:textId="77777777" w:rsidR="00872965" w:rsidRPr="00C87222" w:rsidRDefault="00872965" w:rsidP="00604B50">
      <w:pPr>
        <w:jc w:val="both"/>
        <w:rPr>
          <w:rFonts w:asciiTheme="majorBidi" w:hAnsiTheme="majorBidi" w:cstheme="majorBidi"/>
          <w:sz w:val="32"/>
          <w:szCs w:val="32"/>
        </w:rPr>
      </w:pPr>
    </w:p>
    <w:sectPr w:rsidR="00872965" w:rsidRPr="00C87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55"/>
    <w:rsid w:val="00017154"/>
    <w:rsid w:val="00042667"/>
    <w:rsid w:val="00077556"/>
    <w:rsid w:val="00244A9B"/>
    <w:rsid w:val="00604B50"/>
    <w:rsid w:val="007540A9"/>
    <w:rsid w:val="00872965"/>
    <w:rsid w:val="00912C47"/>
    <w:rsid w:val="00B70455"/>
    <w:rsid w:val="00C87222"/>
    <w:rsid w:val="00CA266E"/>
    <w:rsid w:val="00D37F76"/>
    <w:rsid w:val="00EA5A42"/>
    <w:rsid w:val="00EB16F6"/>
    <w:rsid w:val="00F77C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8254"/>
  <w15:chartTrackingRefBased/>
  <w15:docId w15:val="{6A26A171-B368-432E-8997-2AF10705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76"/>
  </w:style>
  <w:style w:type="paragraph" w:styleId="Heading1">
    <w:name w:val="heading 1"/>
    <w:basedOn w:val="Normal"/>
    <w:next w:val="Normal"/>
    <w:link w:val="Heading1Char"/>
    <w:uiPriority w:val="9"/>
    <w:qFormat/>
    <w:rsid w:val="00D3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76"/>
    <w:rPr>
      <w:rFonts w:eastAsiaTheme="majorEastAsia" w:cstheme="majorBidi"/>
      <w:color w:val="272727" w:themeColor="text1" w:themeTint="D8"/>
    </w:rPr>
  </w:style>
  <w:style w:type="paragraph" w:styleId="Title">
    <w:name w:val="Title"/>
    <w:basedOn w:val="Normal"/>
    <w:next w:val="Normal"/>
    <w:link w:val="TitleChar"/>
    <w:uiPriority w:val="10"/>
    <w:qFormat/>
    <w:rsid w:val="00D3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7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37F76"/>
    <w:pPr>
      <w:ind w:left="720"/>
      <w:contextualSpacing/>
    </w:pPr>
  </w:style>
  <w:style w:type="paragraph" w:styleId="Quote">
    <w:name w:val="Quote"/>
    <w:basedOn w:val="Normal"/>
    <w:next w:val="Normal"/>
    <w:link w:val="QuoteChar"/>
    <w:uiPriority w:val="29"/>
    <w:qFormat/>
    <w:rsid w:val="00D37F76"/>
    <w:pPr>
      <w:spacing w:before="160"/>
      <w:jc w:val="center"/>
    </w:pPr>
    <w:rPr>
      <w:i/>
      <w:iCs/>
      <w:color w:val="404040" w:themeColor="text1" w:themeTint="BF"/>
    </w:rPr>
  </w:style>
  <w:style w:type="character" w:customStyle="1" w:styleId="QuoteChar">
    <w:name w:val="Quote Char"/>
    <w:basedOn w:val="DefaultParagraphFont"/>
    <w:link w:val="Quote"/>
    <w:uiPriority w:val="29"/>
    <w:rsid w:val="00D37F76"/>
    <w:rPr>
      <w:i/>
      <w:iCs/>
      <w:color w:val="404040" w:themeColor="text1" w:themeTint="BF"/>
    </w:rPr>
  </w:style>
  <w:style w:type="paragraph" w:styleId="IntenseQuote">
    <w:name w:val="Intense Quote"/>
    <w:basedOn w:val="Normal"/>
    <w:next w:val="Normal"/>
    <w:link w:val="IntenseQuoteChar"/>
    <w:uiPriority w:val="30"/>
    <w:qFormat/>
    <w:rsid w:val="00D3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F76"/>
    <w:rPr>
      <w:i/>
      <w:iCs/>
      <w:color w:val="2F5496" w:themeColor="accent1" w:themeShade="BF"/>
    </w:rPr>
  </w:style>
  <w:style w:type="character" w:styleId="IntenseEmphasis">
    <w:name w:val="Intense Emphasis"/>
    <w:basedOn w:val="DefaultParagraphFont"/>
    <w:uiPriority w:val="21"/>
    <w:qFormat/>
    <w:rsid w:val="00D37F76"/>
    <w:rPr>
      <w:i/>
      <w:iCs/>
      <w:color w:val="2F5496" w:themeColor="accent1" w:themeShade="BF"/>
    </w:rPr>
  </w:style>
  <w:style w:type="character" w:styleId="IntenseReference">
    <w:name w:val="Intense Reference"/>
    <w:basedOn w:val="DefaultParagraphFont"/>
    <w:uiPriority w:val="32"/>
    <w:qFormat/>
    <w:rsid w:val="00D3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158</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10</cp:revision>
  <dcterms:created xsi:type="dcterms:W3CDTF">2025-12-26T15:27:00Z</dcterms:created>
  <dcterms:modified xsi:type="dcterms:W3CDTF">2025-12-26T18:27:00Z</dcterms:modified>
</cp:coreProperties>
</file>