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73A" w:rsidRPr="0083273A" w:rsidRDefault="00216AE3" w:rsidP="0083273A">
      <w:pPr>
        <w:rPr>
          <w:b/>
          <w:bCs/>
        </w:rPr>
      </w:pPr>
      <w:r>
        <w:rPr>
          <w:rFonts w:ascii="Segoe UI Symbol" w:hAnsi="Segoe UI Symbol" w:cs="Segoe UI Symbol"/>
          <w:b/>
          <w:bCs/>
        </w:rPr>
        <w:t>Cours</w:t>
      </w:r>
      <w:bookmarkStart w:id="0" w:name="_GoBack"/>
      <w:bookmarkEnd w:id="0"/>
      <w:r w:rsidR="0083273A" w:rsidRPr="0083273A">
        <w:rPr>
          <w:b/>
          <w:bCs/>
        </w:rPr>
        <w:t xml:space="preserve"> 7 : Pierre Bourdieu et la reproduction culturelle</w:t>
      </w:r>
    </w:p>
    <w:p w:rsidR="0083273A" w:rsidRPr="0083273A" w:rsidRDefault="00216AE3" w:rsidP="0083273A">
      <w:r>
        <w:pict>
          <v:rect id="_x0000_i1025" style="width:0;height:1.5pt" o:hralign="center" o:hrstd="t" o:hr="t" fillcolor="#a0a0a0" stroked="f"/>
        </w:pict>
      </w:r>
    </w:p>
    <w:p w:rsidR="0083273A" w:rsidRPr="0083273A" w:rsidRDefault="0083273A" w:rsidP="0083273A">
      <w:pPr>
        <w:rPr>
          <w:b/>
          <w:bCs/>
        </w:rPr>
      </w:pPr>
      <w:r w:rsidRPr="0083273A">
        <w:rPr>
          <w:rFonts w:ascii="Segoe UI Symbol" w:hAnsi="Segoe UI Symbol" w:cs="Segoe UI Symbol"/>
          <w:b/>
          <w:bCs/>
        </w:rPr>
        <w:t>🎯</w:t>
      </w:r>
      <w:r w:rsidRPr="0083273A">
        <w:rPr>
          <w:b/>
          <w:bCs/>
        </w:rPr>
        <w:t xml:space="preserve"> Objectifs de la séance</w:t>
      </w:r>
    </w:p>
    <w:p w:rsidR="0083273A" w:rsidRPr="0083273A" w:rsidRDefault="0083273A" w:rsidP="0083273A">
      <w:r w:rsidRPr="0083273A">
        <w:t>À la fin de cette séance, les étudiants devront être capables de :</w:t>
      </w:r>
    </w:p>
    <w:p w:rsidR="0083273A" w:rsidRPr="0083273A" w:rsidRDefault="0083273A" w:rsidP="0083273A">
      <w:pPr>
        <w:numPr>
          <w:ilvl w:val="0"/>
          <w:numId w:val="1"/>
        </w:numPr>
      </w:pPr>
      <w:r w:rsidRPr="0083273A">
        <w:t>Comprendre les notions clés de Bourdieu (habitus, champ, capital culturel).</w:t>
      </w:r>
    </w:p>
    <w:p w:rsidR="0083273A" w:rsidRPr="0083273A" w:rsidRDefault="0083273A" w:rsidP="0083273A">
      <w:pPr>
        <w:numPr>
          <w:ilvl w:val="0"/>
          <w:numId w:val="1"/>
        </w:numPr>
      </w:pPr>
      <w:r w:rsidRPr="0083273A">
        <w:t>Analyser le rôle de la culture dans la reproduction des hiérarchies sociales.</w:t>
      </w:r>
    </w:p>
    <w:p w:rsidR="0083273A" w:rsidRPr="0083273A" w:rsidRDefault="0083273A" w:rsidP="0083273A">
      <w:pPr>
        <w:numPr>
          <w:ilvl w:val="0"/>
          <w:numId w:val="1"/>
        </w:numPr>
      </w:pPr>
      <w:r w:rsidRPr="0083273A">
        <w:t>Évaluer la portée de la pensée de Bourdieu pour les études interculturelles.</w:t>
      </w:r>
    </w:p>
    <w:p w:rsidR="0083273A" w:rsidRPr="0083273A" w:rsidRDefault="0083273A" w:rsidP="0083273A">
      <w:pPr>
        <w:numPr>
          <w:ilvl w:val="0"/>
          <w:numId w:val="1"/>
        </w:numPr>
      </w:pPr>
      <w:r w:rsidRPr="0083273A">
        <w:t>Mettre en relation la théorie de la reproduction avec les débats sur l’accès à la culture et l’inégalité entre civilisations.</w:t>
      </w:r>
    </w:p>
    <w:p w:rsidR="0083273A" w:rsidRPr="0083273A" w:rsidRDefault="00216AE3" w:rsidP="0083273A">
      <w:r>
        <w:pict>
          <v:rect id="_x0000_i1026" style="width:0;height:1.5pt" o:hralign="center" o:hrstd="t" o:hr="t" fillcolor="#a0a0a0" stroked="f"/>
        </w:pict>
      </w:r>
    </w:p>
    <w:p w:rsidR="0083273A" w:rsidRPr="0083273A" w:rsidRDefault="0083273A" w:rsidP="0083273A">
      <w:pPr>
        <w:rPr>
          <w:b/>
          <w:bCs/>
        </w:rPr>
      </w:pPr>
      <w:r w:rsidRPr="0083273A">
        <w:rPr>
          <w:b/>
          <w:bCs/>
        </w:rPr>
        <w:t>1. Introduction</w:t>
      </w:r>
    </w:p>
    <w:p w:rsidR="0083273A" w:rsidRPr="0083273A" w:rsidRDefault="0083273A" w:rsidP="0083273A">
      <w:r w:rsidRPr="0083273A">
        <w:t xml:space="preserve">Pierre Bourdieu (1930-2002) est l’un des penseurs majeurs de la sociologie contemporaine. Ses travaux sur l’éducation, la culture et les rapports sociaux ont profondément renouvelé la compréhension des mécanismes de domination. En particulier, son ouvrage </w:t>
      </w:r>
      <w:r w:rsidRPr="0083273A">
        <w:rPr>
          <w:i/>
          <w:iCs/>
        </w:rPr>
        <w:t>La reproduction</w:t>
      </w:r>
      <w:r w:rsidRPr="0083273A">
        <w:t xml:space="preserve"> (1970, avec Jean-Claude Passeron) et </w:t>
      </w:r>
      <w:r w:rsidRPr="0083273A">
        <w:rPr>
          <w:i/>
          <w:iCs/>
        </w:rPr>
        <w:t>La distinction</w:t>
      </w:r>
      <w:r w:rsidRPr="0083273A">
        <w:t xml:space="preserve"> (1979) montrent que la culture n’est pas un simple espace neutre, mais un instrument de </w:t>
      </w:r>
      <w:r w:rsidRPr="0083273A">
        <w:rPr>
          <w:b/>
          <w:bCs/>
        </w:rPr>
        <w:t>reproduction des inégalités sociales</w:t>
      </w:r>
      <w:r w:rsidRPr="0083273A">
        <w:t>.</w:t>
      </w:r>
    </w:p>
    <w:p w:rsidR="0083273A" w:rsidRPr="0083273A" w:rsidRDefault="00216AE3" w:rsidP="0083273A">
      <w:r>
        <w:pict>
          <v:rect id="_x0000_i1027" style="width:0;height:1.5pt" o:hralign="center" o:hrstd="t" o:hr="t" fillcolor="#a0a0a0" stroked="f"/>
        </w:pict>
      </w:r>
    </w:p>
    <w:p w:rsidR="0083273A" w:rsidRPr="0083273A" w:rsidRDefault="0083273A" w:rsidP="0083273A">
      <w:pPr>
        <w:rPr>
          <w:b/>
          <w:bCs/>
        </w:rPr>
      </w:pPr>
      <w:r w:rsidRPr="0083273A">
        <w:rPr>
          <w:b/>
          <w:bCs/>
        </w:rPr>
        <w:t>2. L’habitus et le capital culturel</w:t>
      </w:r>
    </w:p>
    <w:p w:rsidR="0083273A" w:rsidRPr="0083273A" w:rsidRDefault="0083273A" w:rsidP="0083273A">
      <w:r w:rsidRPr="0083273A">
        <w:t>Bourdieu introduit la notion d’</w:t>
      </w:r>
      <w:r w:rsidRPr="0083273A">
        <w:rPr>
          <w:b/>
          <w:bCs/>
        </w:rPr>
        <w:t>habitus</w:t>
      </w:r>
      <w:r w:rsidRPr="0083273A">
        <w:t>, ensemble de dispositions durables qui orientent nos goûts, comportements et façons de percevoir le monde :</w:t>
      </w:r>
    </w:p>
    <w:p w:rsidR="0083273A" w:rsidRPr="0083273A" w:rsidRDefault="0083273A" w:rsidP="0083273A">
      <w:r w:rsidRPr="0083273A">
        <w:t>« L’habitus est un système de dispositions durables et transposables » (Bourdieu, 1972, p. 178).</w:t>
      </w:r>
    </w:p>
    <w:p w:rsidR="0083273A" w:rsidRPr="0083273A" w:rsidRDefault="0083273A" w:rsidP="0083273A">
      <w:r w:rsidRPr="0083273A">
        <w:t xml:space="preserve">Ce concept est lié à celui de </w:t>
      </w:r>
      <w:r w:rsidRPr="0083273A">
        <w:rPr>
          <w:b/>
          <w:bCs/>
        </w:rPr>
        <w:t>capital culturel</w:t>
      </w:r>
      <w:r w:rsidRPr="0083273A">
        <w:t xml:space="preserve"> (connaissances, compétences, diplômes, références artistiques) qui, comme le capital économique, joue un rôle central dans les rapports sociaux.</w:t>
      </w:r>
    </w:p>
    <w:p w:rsidR="0083273A" w:rsidRPr="0083273A" w:rsidRDefault="0083273A" w:rsidP="0083273A">
      <w:r w:rsidRPr="0083273A">
        <w:rPr>
          <w:rFonts w:ascii="Segoe UI Symbol" w:hAnsi="Segoe UI Symbol" w:cs="Segoe UI Symbol"/>
        </w:rPr>
        <w:t>👉</w:t>
      </w:r>
      <w:r w:rsidRPr="0083273A">
        <w:t xml:space="preserve"> Exemple : les enfants issus de milieux favorisés disposent d’un capital culturel qui leur permet de mieux réussir à l’école et de maintenir leur position sociale.</w:t>
      </w:r>
    </w:p>
    <w:p w:rsidR="0083273A" w:rsidRPr="0083273A" w:rsidRDefault="00216AE3" w:rsidP="0083273A">
      <w:r>
        <w:pict>
          <v:rect id="_x0000_i1028" style="width:0;height:1.5pt" o:hralign="center" o:hrstd="t" o:hr="t" fillcolor="#a0a0a0" stroked="f"/>
        </w:pict>
      </w:r>
    </w:p>
    <w:p w:rsidR="0083273A" w:rsidRPr="0083273A" w:rsidRDefault="0083273A" w:rsidP="0083273A">
      <w:pPr>
        <w:rPr>
          <w:b/>
          <w:bCs/>
        </w:rPr>
      </w:pPr>
      <w:r w:rsidRPr="0083273A">
        <w:rPr>
          <w:b/>
          <w:bCs/>
        </w:rPr>
        <w:t>3. La culture comme reproduction sociale</w:t>
      </w:r>
    </w:p>
    <w:p w:rsidR="0083273A" w:rsidRPr="0083273A" w:rsidRDefault="0083273A" w:rsidP="0083273A">
      <w:r w:rsidRPr="0083273A">
        <w:t xml:space="preserve">Dans </w:t>
      </w:r>
      <w:r w:rsidRPr="0083273A">
        <w:rPr>
          <w:i/>
          <w:iCs/>
        </w:rPr>
        <w:t>La reproduction</w:t>
      </w:r>
      <w:r w:rsidRPr="0083273A">
        <w:t xml:space="preserve"> (1970), Bourdieu et Passeron montrent que l’école contribue à </w:t>
      </w:r>
      <w:r w:rsidRPr="0083273A">
        <w:rPr>
          <w:b/>
          <w:bCs/>
        </w:rPr>
        <w:t>légitimer les inégalités sociales</w:t>
      </w:r>
      <w:r w:rsidRPr="0083273A">
        <w:t xml:space="preserve"> en présentant comme universelles des normes qui sont en réalité celles des classes dominantes.</w:t>
      </w:r>
    </w:p>
    <w:p w:rsidR="0083273A" w:rsidRPr="0083273A" w:rsidRDefault="0083273A" w:rsidP="0083273A">
      <w:r w:rsidRPr="0083273A">
        <w:t>« La culture scolaire est la culture de la classe dominante transformée en culture légitime » (Bourdieu &amp; Passeron, 1970, p. 55).</w:t>
      </w:r>
    </w:p>
    <w:p w:rsidR="0083273A" w:rsidRPr="0083273A" w:rsidRDefault="0083273A" w:rsidP="0083273A">
      <w:r w:rsidRPr="0083273A">
        <w:t>Ainsi, loin de corriger les inégalités, l’institution scolaire tend à les reproduire.</w:t>
      </w:r>
    </w:p>
    <w:p w:rsidR="0083273A" w:rsidRPr="0083273A" w:rsidRDefault="00216AE3" w:rsidP="0083273A">
      <w:r>
        <w:pict>
          <v:rect id="_x0000_i1029" style="width:0;height:1.5pt" o:hralign="center" o:hrstd="t" o:hr="t" fillcolor="#a0a0a0" stroked="f"/>
        </w:pict>
      </w:r>
    </w:p>
    <w:p w:rsidR="0083273A" w:rsidRPr="0083273A" w:rsidRDefault="0083273A" w:rsidP="0083273A">
      <w:pPr>
        <w:rPr>
          <w:b/>
          <w:bCs/>
        </w:rPr>
      </w:pPr>
      <w:r w:rsidRPr="0083273A">
        <w:rPr>
          <w:b/>
          <w:bCs/>
        </w:rPr>
        <w:t>4. La distinction et la hiérarchie des goûts</w:t>
      </w:r>
    </w:p>
    <w:p w:rsidR="0083273A" w:rsidRPr="0083273A" w:rsidRDefault="0083273A" w:rsidP="0083273A">
      <w:r w:rsidRPr="0083273A">
        <w:lastRenderedPageBreak/>
        <w:t xml:space="preserve">Dans </w:t>
      </w:r>
      <w:r w:rsidRPr="0083273A">
        <w:rPr>
          <w:i/>
          <w:iCs/>
        </w:rPr>
        <w:t>La distinction</w:t>
      </w:r>
      <w:r w:rsidRPr="0083273A">
        <w:t xml:space="preserve"> (1979), Bourdieu montre que les préférences culturelles (musique classique, littérature, art contemporain vs musique populaire, télévision) ne sont pas neutres mais fonctionnent comme </w:t>
      </w:r>
      <w:r w:rsidRPr="0083273A">
        <w:rPr>
          <w:b/>
          <w:bCs/>
        </w:rPr>
        <w:t>marqueurs sociaux</w:t>
      </w:r>
      <w:r w:rsidRPr="0083273A">
        <w:t xml:space="preserve"> :</w:t>
      </w:r>
    </w:p>
    <w:p w:rsidR="0083273A" w:rsidRPr="0083273A" w:rsidRDefault="0083273A" w:rsidP="0083273A">
      <w:r w:rsidRPr="0083273A">
        <w:t>« Le goût classe, et classe celui qui classe » (Bourdieu, 1979, p. 6).</w:t>
      </w:r>
    </w:p>
    <w:p w:rsidR="0083273A" w:rsidRPr="0083273A" w:rsidRDefault="0083273A" w:rsidP="0083273A">
      <w:r w:rsidRPr="0083273A">
        <w:t>Les pratiques culturelles deviennent ainsi un moyen de distinguer les classes sociales et de reproduire les hiérarchies.</w:t>
      </w:r>
    </w:p>
    <w:p w:rsidR="0083273A" w:rsidRPr="0083273A" w:rsidRDefault="00216AE3" w:rsidP="0083273A">
      <w:r>
        <w:pict>
          <v:rect id="_x0000_i1030" style="width:0;height:1.5pt" o:hralign="center" o:hrstd="t" o:hr="t" fillcolor="#a0a0a0" stroked="f"/>
        </w:pict>
      </w:r>
    </w:p>
    <w:p w:rsidR="0083273A" w:rsidRPr="0083273A" w:rsidRDefault="0083273A" w:rsidP="0083273A">
      <w:pPr>
        <w:rPr>
          <w:b/>
          <w:bCs/>
        </w:rPr>
      </w:pPr>
      <w:r w:rsidRPr="0083273A">
        <w:rPr>
          <w:b/>
          <w:bCs/>
        </w:rPr>
        <w:t>5. Portée interculturelle</w:t>
      </w:r>
    </w:p>
    <w:p w:rsidR="0083273A" w:rsidRPr="0083273A" w:rsidRDefault="0083273A" w:rsidP="0083273A">
      <w:r w:rsidRPr="0083273A">
        <w:t>Appliquée aux relations entre civilisations, la pensée de Bourdieu permet de comprendre :</w:t>
      </w:r>
    </w:p>
    <w:p w:rsidR="0083273A" w:rsidRPr="0083273A" w:rsidRDefault="0083273A" w:rsidP="0083273A">
      <w:pPr>
        <w:numPr>
          <w:ilvl w:val="0"/>
          <w:numId w:val="2"/>
        </w:numPr>
      </w:pPr>
      <w:r w:rsidRPr="0083273A">
        <w:t>Que certaines cultures sont valorisées comme « légitimes » et d’autres dépréciées comme « populaires » ou « arriérées ».</w:t>
      </w:r>
    </w:p>
    <w:p w:rsidR="0083273A" w:rsidRPr="0083273A" w:rsidRDefault="0083273A" w:rsidP="0083273A">
      <w:pPr>
        <w:numPr>
          <w:ilvl w:val="0"/>
          <w:numId w:val="2"/>
        </w:numPr>
      </w:pPr>
      <w:r w:rsidRPr="0083273A">
        <w:t>Que les rapports interculturels peuvent reproduire des hiérarchies de domination culturelle similaires aux rapports de classe.</w:t>
      </w:r>
    </w:p>
    <w:p w:rsidR="0083273A" w:rsidRPr="0083273A" w:rsidRDefault="0083273A" w:rsidP="0083273A">
      <w:pPr>
        <w:numPr>
          <w:ilvl w:val="0"/>
          <w:numId w:val="2"/>
        </w:numPr>
      </w:pPr>
      <w:r w:rsidRPr="0083273A">
        <w:t>Que la mondialisation renforce parfois l’hégémonie d’une « culture légitime » globale (culture occidentale mondialisée).</w:t>
      </w:r>
    </w:p>
    <w:p w:rsidR="0083273A" w:rsidRPr="0083273A" w:rsidRDefault="00216AE3" w:rsidP="0083273A">
      <w:r>
        <w:pict>
          <v:rect id="_x0000_i1031" style="width:0;height:1.5pt" o:hralign="center" o:hrstd="t" o:hr="t" fillcolor="#a0a0a0" stroked="f"/>
        </w:pict>
      </w:r>
    </w:p>
    <w:p w:rsidR="0083273A" w:rsidRPr="0083273A" w:rsidRDefault="0083273A" w:rsidP="0083273A">
      <w:pPr>
        <w:rPr>
          <w:b/>
          <w:bCs/>
        </w:rPr>
      </w:pPr>
      <w:r w:rsidRPr="0083273A">
        <w:rPr>
          <w:b/>
          <w:bCs/>
        </w:rPr>
        <w:t>6. Encadré explicatif</w:t>
      </w:r>
    </w:p>
    <w:p w:rsidR="0083273A" w:rsidRPr="0083273A" w:rsidRDefault="0083273A" w:rsidP="0083273A">
      <w:pPr>
        <w:rPr>
          <w:b/>
          <w:bCs/>
        </w:rPr>
      </w:pPr>
      <w:r w:rsidRPr="0083273A">
        <w:rPr>
          <w:rFonts w:ascii="Segoe UI Symbol" w:hAnsi="Segoe UI Symbol" w:cs="Segoe UI Symbol"/>
          <w:b/>
          <w:bCs/>
        </w:rPr>
        <w:t>🔑</w:t>
      </w:r>
      <w:r w:rsidRPr="0083273A">
        <w:rPr>
          <w:b/>
          <w:bCs/>
        </w:rPr>
        <w:t xml:space="preserve"> Points clés à retenir :</w:t>
      </w:r>
    </w:p>
    <w:p w:rsidR="0083273A" w:rsidRPr="0083273A" w:rsidRDefault="0083273A" w:rsidP="0083273A">
      <w:pPr>
        <w:numPr>
          <w:ilvl w:val="0"/>
          <w:numId w:val="3"/>
        </w:numPr>
      </w:pPr>
      <w:r w:rsidRPr="0083273A">
        <w:t>Habitus : dispositions intériorisées qui orientent nos pratiques.</w:t>
      </w:r>
    </w:p>
    <w:p w:rsidR="0083273A" w:rsidRPr="0083273A" w:rsidRDefault="0083273A" w:rsidP="0083273A">
      <w:pPr>
        <w:numPr>
          <w:ilvl w:val="0"/>
          <w:numId w:val="3"/>
        </w:numPr>
      </w:pPr>
      <w:r w:rsidRPr="0083273A">
        <w:t>Capital culturel : ressources symboliques et scolaires qui participent aux inégalités.</w:t>
      </w:r>
    </w:p>
    <w:p w:rsidR="0083273A" w:rsidRPr="0083273A" w:rsidRDefault="0083273A" w:rsidP="0083273A">
      <w:pPr>
        <w:numPr>
          <w:ilvl w:val="0"/>
          <w:numId w:val="3"/>
        </w:numPr>
      </w:pPr>
      <w:r w:rsidRPr="0083273A">
        <w:t>Reproduction : l’école et la culture renforcent souvent les rapports de domination.</w:t>
      </w:r>
    </w:p>
    <w:p w:rsidR="0083273A" w:rsidRPr="0083273A" w:rsidRDefault="0083273A" w:rsidP="0083273A">
      <w:pPr>
        <w:numPr>
          <w:ilvl w:val="0"/>
          <w:numId w:val="3"/>
        </w:numPr>
      </w:pPr>
      <w:r w:rsidRPr="0083273A">
        <w:t>Distinction : les goûts culturels fonctionnent comme instruments de hiérarchisation sociale.</w:t>
      </w:r>
    </w:p>
    <w:p w:rsidR="0083273A" w:rsidRPr="0083273A" w:rsidRDefault="00216AE3" w:rsidP="0083273A">
      <w:r>
        <w:pict>
          <v:rect id="_x0000_i1032" style="width:0;height:1.5pt" o:hralign="center" o:hrstd="t" o:hr="t" fillcolor="#a0a0a0" stroked="f"/>
        </w:pict>
      </w:r>
    </w:p>
    <w:p w:rsidR="0083273A" w:rsidRPr="0083273A" w:rsidRDefault="0083273A" w:rsidP="0083273A">
      <w:pPr>
        <w:rPr>
          <w:b/>
          <w:bCs/>
        </w:rPr>
      </w:pPr>
      <w:r w:rsidRPr="0083273A">
        <w:rPr>
          <w:b/>
          <w:bCs/>
        </w:rPr>
        <w:t>7. Conclusion</w:t>
      </w:r>
    </w:p>
    <w:p w:rsidR="0083273A" w:rsidRPr="0083273A" w:rsidRDefault="0083273A" w:rsidP="0083273A">
      <w:r w:rsidRPr="0083273A">
        <w:t xml:space="preserve">La pensée de Bourdieu met en lumière la </w:t>
      </w:r>
      <w:r w:rsidRPr="0083273A">
        <w:rPr>
          <w:b/>
          <w:bCs/>
        </w:rPr>
        <w:t>fonction sociale de la culture</w:t>
      </w:r>
      <w:r w:rsidRPr="0083273A">
        <w:t xml:space="preserve"> : loin d’être un espace neutre de liberté et d’égalité, elle participe à la reproduction des rapports de pouvoir. Pour les études interculturelles, cette approche invite à questionner la hiérarchie implicite entre civilisations et à réfléchir à des modes de reconnaissance qui évitent la domination symbolique.</w:t>
      </w:r>
    </w:p>
    <w:p w:rsidR="0083273A" w:rsidRPr="0083273A" w:rsidRDefault="00216AE3" w:rsidP="0083273A">
      <w:r>
        <w:pict>
          <v:rect id="_x0000_i1033" style="width:0;height:1.5pt" o:hralign="center" o:hrstd="t" o:hr="t" fillcolor="#a0a0a0" stroked="f"/>
        </w:pict>
      </w:r>
    </w:p>
    <w:p w:rsidR="0083273A" w:rsidRPr="0083273A" w:rsidRDefault="0083273A" w:rsidP="0083273A">
      <w:r w:rsidRPr="0083273A">
        <w:rPr>
          <w:rFonts w:ascii="Segoe UI Symbol" w:hAnsi="Segoe UI Symbol" w:cs="Segoe UI Symbol"/>
        </w:rPr>
        <w:t>📌</w:t>
      </w:r>
      <w:r w:rsidRPr="0083273A">
        <w:t xml:space="preserve"> </w:t>
      </w:r>
      <w:r w:rsidRPr="0083273A">
        <w:rPr>
          <w:b/>
          <w:bCs/>
        </w:rPr>
        <w:t>Références bibliographiques</w:t>
      </w:r>
      <w:r w:rsidRPr="0083273A">
        <w:t xml:space="preserve"> :</w:t>
      </w:r>
    </w:p>
    <w:p w:rsidR="0083273A" w:rsidRPr="0083273A" w:rsidRDefault="0083273A" w:rsidP="0083273A">
      <w:pPr>
        <w:numPr>
          <w:ilvl w:val="0"/>
          <w:numId w:val="4"/>
        </w:numPr>
      </w:pPr>
      <w:r w:rsidRPr="0083273A">
        <w:t xml:space="preserve">Bourdieu, P. (1972). </w:t>
      </w:r>
      <w:r w:rsidRPr="0083273A">
        <w:rPr>
          <w:i/>
          <w:iCs/>
        </w:rPr>
        <w:t>Esquisse d’une théorie de la pratique</w:t>
      </w:r>
      <w:r w:rsidRPr="0083273A">
        <w:t>. Genève: Droz.</w:t>
      </w:r>
    </w:p>
    <w:p w:rsidR="0083273A" w:rsidRPr="0083273A" w:rsidRDefault="0083273A" w:rsidP="0083273A">
      <w:pPr>
        <w:numPr>
          <w:ilvl w:val="0"/>
          <w:numId w:val="4"/>
        </w:numPr>
      </w:pPr>
      <w:r w:rsidRPr="0083273A">
        <w:t xml:space="preserve">Bourdieu, P. &amp; Passeron, J.-C. (1970). </w:t>
      </w:r>
      <w:r w:rsidRPr="0083273A">
        <w:rPr>
          <w:i/>
          <w:iCs/>
        </w:rPr>
        <w:t>La reproduction. Éléments pour une théorie du système d’enseignement</w:t>
      </w:r>
      <w:r w:rsidRPr="0083273A">
        <w:t>. Paris: Minuit.</w:t>
      </w:r>
    </w:p>
    <w:p w:rsidR="0083273A" w:rsidRPr="0083273A" w:rsidRDefault="0083273A" w:rsidP="0083273A">
      <w:pPr>
        <w:numPr>
          <w:ilvl w:val="0"/>
          <w:numId w:val="4"/>
        </w:numPr>
      </w:pPr>
      <w:r w:rsidRPr="0083273A">
        <w:t xml:space="preserve">Bourdieu, P. (1979). </w:t>
      </w:r>
      <w:r w:rsidRPr="0083273A">
        <w:rPr>
          <w:i/>
          <w:iCs/>
        </w:rPr>
        <w:t>La distinction. Critique sociale du jugement</w:t>
      </w:r>
      <w:r w:rsidRPr="0083273A">
        <w:t>. Paris: Minuit.</w:t>
      </w:r>
    </w:p>
    <w:p w:rsidR="00EC2806" w:rsidRDefault="00EC2806"/>
    <w:sectPr w:rsidR="00EC2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0C0F"/>
    <w:multiLevelType w:val="multilevel"/>
    <w:tmpl w:val="AD6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E6A67"/>
    <w:multiLevelType w:val="multilevel"/>
    <w:tmpl w:val="9B42B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1C0C2A"/>
    <w:multiLevelType w:val="multilevel"/>
    <w:tmpl w:val="CA0C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F0503A"/>
    <w:multiLevelType w:val="multilevel"/>
    <w:tmpl w:val="329E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3A"/>
    <w:rsid w:val="00216AE3"/>
    <w:rsid w:val="0083273A"/>
    <w:rsid w:val="00EC28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FB0C"/>
  <w15:chartTrackingRefBased/>
  <w15:docId w15:val="{6286080A-B660-4BF6-8FFA-B815189D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98947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513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97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3497</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2025-09-27T15:56:00Z</dcterms:created>
  <dcterms:modified xsi:type="dcterms:W3CDTF">2025-12-23T18:50:00Z</dcterms:modified>
</cp:coreProperties>
</file>