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417" w:rsidRPr="00473417" w:rsidRDefault="00357815" w:rsidP="00473417">
      <w:pPr>
        <w:rPr>
          <w:b/>
          <w:bCs/>
        </w:rPr>
      </w:pPr>
      <w:r>
        <w:rPr>
          <w:rFonts w:ascii="Segoe UI Symbol" w:hAnsi="Segoe UI Symbol" w:cs="Segoe UI Symbol"/>
          <w:b/>
          <w:bCs/>
        </w:rPr>
        <w:t>Cours</w:t>
      </w:r>
      <w:bookmarkStart w:id="0" w:name="_GoBack"/>
      <w:bookmarkEnd w:id="0"/>
      <w:r w:rsidR="00473417" w:rsidRPr="00473417">
        <w:rPr>
          <w:b/>
          <w:bCs/>
        </w:rPr>
        <w:t xml:space="preserve"> 1 : Culture et civilisation – définitions fondatrices</w:t>
      </w:r>
    </w:p>
    <w:p w:rsidR="00473417" w:rsidRPr="00473417" w:rsidRDefault="00473417" w:rsidP="00473417">
      <w:pPr>
        <w:rPr>
          <w:b/>
          <w:bCs/>
        </w:rPr>
      </w:pPr>
      <w:r w:rsidRPr="00473417">
        <w:rPr>
          <w:b/>
          <w:bCs/>
        </w:rPr>
        <w:t>1. Introduction</w:t>
      </w:r>
    </w:p>
    <w:p w:rsidR="00473417" w:rsidRPr="00473417" w:rsidRDefault="00473417" w:rsidP="00473417">
      <w:r w:rsidRPr="00473417">
        <w:t xml:space="preserve">Avant d’aborder les théories contemporaines sur la naissance, l’évolution et le déclin des civilisations, il est indispensable de poser les fondations conceptuelles. La distinction entre </w:t>
      </w:r>
      <w:r w:rsidRPr="00473417">
        <w:rPr>
          <w:b/>
          <w:bCs/>
        </w:rPr>
        <w:t>culture</w:t>
      </w:r>
      <w:r w:rsidRPr="00473417">
        <w:t xml:space="preserve"> et </w:t>
      </w:r>
      <w:r w:rsidRPr="00473417">
        <w:rPr>
          <w:b/>
          <w:bCs/>
        </w:rPr>
        <w:t>civilisation</w:t>
      </w:r>
      <w:r w:rsidRPr="00473417">
        <w:t xml:space="preserve"> occupe une place centrale dans les sciences humaines, et elle a été largement débattue par les anthropologues, sociologues et philosophes. Comprendre cette distinction permet aux étudiants de situer les débats intellectuels modernes et d’éviter les confusions terminologiques qui persistent encore aujourd’hui.</w:t>
      </w:r>
    </w:p>
    <w:p w:rsidR="00473417" w:rsidRPr="00473417" w:rsidRDefault="00357815" w:rsidP="00473417">
      <w:r>
        <w:pict>
          <v:rect id="_x0000_i1025" style="width:0;height:1.5pt" o:hralign="center" o:hrstd="t" o:hr="t" fillcolor="#a0a0a0" stroked="f"/>
        </w:pict>
      </w:r>
    </w:p>
    <w:p w:rsidR="00473417" w:rsidRPr="00473417" w:rsidRDefault="00473417" w:rsidP="00473417">
      <w:pPr>
        <w:rPr>
          <w:b/>
          <w:bCs/>
        </w:rPr>
      </w:pPr>
      <w:r w:rsidRPr="00473417">
        <w:rPr>
          <w:b/>
          <w:bCs/>
        </w:rPr>
        <w:t>2. Définir la culture</w:t>
      </w:r>
    </w:p>
    <w:p w:rsidR="00473417" w:rsidRPr="00473417" w:rsidRDefault="00473417" w:rsidP="00473417">
      <w:r w:rsidRPr="00473417">
        <w:t>Le terme de « culture » est ancien et polysémique. En anthropologie, la définition canonique reste celle d’Edward Burnett Tylor :</w:t>
      </w:r>
    </w:p>
    <w:p w:rsidR="00473417" w:rsidRPr="00473417" w:rsidRDefault="00473417" w:rsidP="00473417">
      <w:r w:rsidRPr="00473417">
        <w:t>« La culture est cet ensemble complexe qui comprend les connaissances, les croyances, l’art, la morale, le droit, les coutumes, et toutes autres capacités et habitudes acquises par l’homme en tant que membre de la société » (Tylor, 1871, p. 1).</w:t>
      </w:r>
    </w:p>
    <w:p w:rsidR="00473417" w:rsidRPr="00473417" w:rsidRDefault="00473417" w:rsidP="00473417">
      <w:r w:rsidRPr="00473417">
        <w:t>Cette définition met en avant trois éléments :</w:t>
      </w:r>
    </w:p>
    <w:p w:rsidR="00473417" w:rsidRPr="00473417" w:rsidRDefault="00473417" w:rsidP="00473417">
      <w:pPr>
        <w:numPr>
          <w:ilvl w:val="0"/>
          <w:numId w:val="1"/>
        </w:numPr>
      </w:pPr>
      <w:r w:rsidRPr="00473417">
        <w:t xml:space="preserve">La culture est </w:t>
      </w:r>
      <w:r w:rsidRPr="00473417">
        <w:rPr>
          <w:b/>
          <w:bCs/>
        </w:rPr>
        <w:t>un ensemble global</w:t>
      </w:r>
      <w:r w:rsidRPr="00473417">
        <w:t xml:space="preserve"> (elle englobe toutes les pratiques humaines).</w:t>
      </w:r>
    </w:p>
    <w:p w:rsidR="00473417" w:rsidRPr="00473417" w:rsidRDefault="00473417" w:rsidP="00473417">
      <w:pPr>
        <w:numPr>
          <w:ilvl w:val="0"/>
          <w:numId w:val="1"/>
        </w:numPr>
      </w:pPr>
      <w:r w:rsidRPr="00473417">
        <w:t xml:space="preserve">Elle est </w:t>
      </w:r>
      <w:r w:rsidRPr="00473417">
        <w:rPr>
          <w:b/>
          <w:bCs/>
        </w:rPr>
        <w:t>transmise socialement</w:t>
      </w:r>
      <w:r w:rsidRPr="00473417">
        <w:t>, non biologiquement.</w:t>
      </w:r>
    </w:p>
    <w:p w:rsidR="00473417" w:rsidRPr="00473417" w:rsidRDefault="00473417" w:rsidP="00473417">
      <w:pPr>
        <w:numPr>
          <w:ilvl w:val="0"/>
          <w:numId w:val="1"/>
        </w:numPr>
      </w:pPr>
      <w:r w:rsidRPr="00473417">
        <w:t>Elle inclut à la fois le matériel (techniques, outils) et l’immatériel (croyances, valeurs, représentations).</w:t>
      </w:r>
    </w:p>
    <w:p w:rsidR="00473417" w:rsidRPr="00473417" w:rsidRDefault="00473417" w:rsidP="00473417">
      <w:r w:rsidRPr="00473417">
        <w:t xml:space="preserve">Pour Clifford Geertz, la culture doit être comprise comme un </w:t>
      </w:r>
      <w:r w:rsidRPr="00473417">
        <w:rPr>
          <w:b/>
          <w:bCs/>
        </w:rPr>
        <w:t>système de significations</w:t>
      </w:r>
      <w:r w:rsidRPr="00473417">
        <w:t xml:space="preserve"> :</w:t>
      </w:r>
    </w:p>
    <w:p w:rsidR="00473417" w:rsidRPr="00473417" w:rsidRDefault="00473417" w:rsidP="00473417">
      <w:r w:rsidRPr="00473417">
        <w:t>« L’homme est un animal suspendu à des toiles de significations qu’il a lui-même tissées » (Geertz, 1973, p. 5).</w:t>
      </w:r>
    </w:p>
    <w:p w:rsidR="00473417" w:rsidRPr="00473417" w:rsidRDefault="00473417" w:rsidP="00473417">
      <w:r w:rsidRPr="00473417">
        <w:rPr>
          <w:rFonts w:ascii="Segoe UI Symbol" w:hAnsi="Segoe UI Symbol" w:cs="Segoe UI Symbol"/>
        </w:rPr>
        <w:t>👉</w:t>
      </w:r>
      <w:r w:rsidRPr="00473417">
        <w:t xml:space="preserve"> La culture apparaît donc comme le réseau symbolique qui donne sens aux actions humaines.</w:t>
      </w:r>
    </w:p>
    <w:p w:rsidR="00473417" w:rsidRPr="00473417" w:rsidRDefault="00357815" w:rsidP="00473417">
      <w:r>
        <w:pict>
          <v:rect id="_x0000_i1026" style="width:0;height:1.5pt" o:hralign="center" o:hrstd="t" o:hr="t" fillcolor="#a0a0a0" stroked="f"/>
        </w:pict>
      </w:r>
    </w:p>
    <w:p w:rsidR="00473417" w:rsidRPr="00473417" w:rsidRDefault="00473417" w:rsidP="00473417">
      <w:pPr>
        <w:rPr>
          <w:b/>
          <w:bCs/>
        </w:rPr>
      </w:pPr>
      <w:r w:rsidRPr="00473417">
        <w:rPr>
          <w:b/>
          <w:bCs/>
        </w:rPr>
        <w:t>3. Définir la civilisation</w:t>
      </w:r>
    </w:p>
    <w:p w:rsidR="00473417" w:rsidRPr="00473417" w:rsidRDefault="00473417" w:rsidP="00473417">
      <w:r w:rsidRPr="00473417">
        <w:t>Le terme de « civilisation » possède une connotation plus large et souvent plus normative. Il a longtemps été utilisé pour opposer les sociétés dites « civilisées » aux sociétés considérées comme « primitives ».</w:t>
      </w:r>
    </w:p>
    <w:p w:rsidR="00473417" w:rsidRPr="00473417" w:rsidRDefault="00473417" w:rsidP="00473417">
      <w:r w:rsidRPr="00473417">
        <w:t xml:space="preserve">Norbert Elias, dans </w:t>
      </w:r>
      <w:r w:rsidRPr="00473417">
        <w:rPr>
          <w:i/>
          <w:iCs/>
        </w:rPr>
        <w:t>La civilisation des mœurs</w:t>
      </w:r>
      <w:r w:rsidRPr="00473417">
        <w:t xml:space="preserve"> (1939/1969), propose une vision dynamique du concept :</w:t>
      </w:r>
    </w:p>
    <w:p w:rsidR="00473417" w:rsidRPr="00473417" w:rsidRDefault="00473417" w:rsidP="00473417">
      <w:r w:rsidRPr="00473417">
        <w:t>« Le concept de civilisation exprime la conscience que l’Occident a de lui-même, il traduit un processus historique par lequel l’homme apprend à maîtriser ses pulsions et à conformer ses comportements à des règles de plus en plus strictes » (Elias, 1969, p. 50).</w:t>
      </w:r>
    </w:p>
    <w:p w:rsidR="00473417" w:rsidRPr="00473417" w:rsidRDefault="00473417" w:rsidP="00473417">
      <w:r w:rsidRPr="00473417">
        <w:t xml:space="preserve">La civilisation est ainsi conçue comme un </w:t>
      </w:r>
      <w:r w:rsidRPr="00473417">
        <w:rPr>
          <w:b/>
          <w:bCs/>
        </w:rPr>
        <w:t>processus évolutif</w:t>
      </w:r>
      <w:r w:rsidRPr="00473417">
        <w:t xml:space="preserve"> de transformation des comportements et d’organisation des sociétés.</w:t>
      </w:r>
    </w:p>
    <w:p w:rsidR="00473417" w:rsidRPr="00473417" w:rsidRDefault="00473417" w:rsidP="00473417">
      <w:r w:rsidRPr="00473417">
        <w:t>Par ailleurs, Fernand Braudel insiste sur la dimension temporelle :</w:t>
      </w:r>
    </w:p>
    <w:p w:rsidR="00473417" w:rsidRPr="00473417" w:rsidRDefault="00473417" w:rsidP="00473417">
      <w:r w:rsidRPr="00473417">
        <w:lastRenderedPageBreak/>
        <w:t>« Les civilisations s’étendent, par définition, sur de très longues périodes. Elles sont, par essence, au-delà du temps court des événements » (Braudel, 1963, p. 25).</w:t>
      </w:r>
    </w:p>
    <w:p w:rsidR="00473417" w:rsidRPr="00473417" w:rsidRDefault="00473417" w:rsidP="00473417">
      <w:r w:rsidRPr="00473417">
        <w:rPr>
          <w:rFonts w:ascii="Segoe UI Symbol" w:hAnsi="Segoe UI Symbol" w:cs="Segoe UI Symbol"/>
        </w:rPr>
        <w:t>👉</w:t>
      </w:r>
      <w:r w:rsidRPr="00473417">
        <w:t xml:space="preserve"> La civilisation désigne donc l’ensemble des structures sociales, politiques et culturelles qui caractérisent une société dans la longue durée.</w:t>
      </w:r>
    </w:p>
    <w:p w:rsidR="00473417" w:rsidRPr="00473417" w:rsidRDefault="00357815" w:rsidP="00473417">
      <w:r>
        <w:pict>
          <v:rect id="_x0000_i1027" style="width:0;height:1.5pt" o:hralign="center" o:hrstd="t" o:hr="t" fillcolor="#a0a0a0" stroked="f"/>
        </w:pict>
      </w:r>
    </w:p>
    <w:p w:rsidR="00473417" w:rsidRPr="00473417" w:rsidRDefault="00473417" w:rsidP="00473417">
      <w:pPr>
        <w:rPr>
          <w:b/>
          <w:bCs/>
        </w:rPr>
      </w:pPr>
      <w:r w:rsidRPr="00473417">
        <w:rPr>
          <w:b/>
          <w:bCs/>
        </w:rPr>
        <w:t>4. Culture vs civilisation : distinctions clés</w:t>
      </w:r>
    </w:p>
    <w:p w:rsidR="00473417" w:rsidRPr="00473417" w:rsidRDefault="00473417" w:rsidP="00473417">
      <w:r w:rsidRPr="00473417">
        <w:t>Plusieurs distinctions peuvent être établies :</w:t>
      </w:r>
    </w:p>
    <w:p w:rsidR="00473417" w:rsidRPr="00473417" w:rsidRDefault="00473417" w:rsidP="00473417">
      <w:pPr>
        <w:numPr>
          <w:ilvl w:val="0"/>
          <w:numId w:val="2"/>
        </w:numPr>
      </w:pPr>
      <w:r w:rsidRPr="00473417">
        <w:rPr>
          <w:b/>
          <w:bCs/>
        </w:rPr>
        <w:t>La culture</w:t>
      </w:r>
      <w:r w:rsidRPr="00473417">
        <w:t xml:space="preserve"> renvoie au </w:t>
      </w:r>
      <w:r w:rsidRPr="00473417">
        <w:rPr>
          <w:b/>
          <w:bCs/>
        </w:rPr>
        <w:t>symbolique</w:t>
      </w:r>
      <w:r w:rsidRPr="00473417">
        <w:t>, à la création de sens et aux représentations collectives.</w:t>
      </w:r>
    </w:p>
    <w:p w:rsidR="00473417" w:rsidRPr="00473417" w:rsidRDefault="00473417" w:rsidP="00473417">
      <w:pPr>
        <w:numPr>
          <w:ilvl w:val="0"/>
          <w:numId w:val="2"/>
        </w:numPr>
      </w:pPr>
      <w:r w:rsidRPr="00473417">
        <w:rPr>
          <w:b/>
          <w:bCs/>
        </w:rPr>
        <w:t>La civilisation</w:t>
      </w:r>
      <w:r w:rsidRPr="00473417">
        <w:t xml:space="preserve"> désigne l’</w:t>
      </w:r>
      <w:r w:rsidRPr="00473417">
        <w:rPr>
          <w:b/>
          <w:bCs/>
        </w:rPr>
        <w:t>organisation matérielle et institutionnelle</w:t>
      </w:r>
      <w:r w:rsidRPr="00473417">
        <w:t xml:space="preserve"> des sociétés sur la longue durée.</w:t>
      </w:r>
    </w:p>
    <w:p w:rsidR="00473417" w:rsidRPr="00473417" w:rsidRDefault="00473417" w:rsidP="00473417">
      <w:pPr>
        <w:numPr>
          <w:ilvl w:val="0"/>
          <w:numId w:val="2"/>
        </w:numPr>
      </w:pPr>
      <w:r w:rsidRPr="00473417">
        <w:t xml:space="preserve">La culture peut être plurielle (plusieurs cultures dans une même société), alors que la civilisation renvoie souvent à une </w:t>
      </w:r>
      <w:r w:rsidRPr="00473417">
        <w:rPr>
          <w:b/>
          <w:bCs/>
        </w:rPr>
        <w:t>totalité historique englobante</w:t>
      </w:r>
      <w:r w:rsidRPr="00473417">
        <w:t>.</w:t>
      </w:r>
    </w:p>
    <w:p w:rsidR="00473417" w:rsidRPr="00473417" w:rsidRDefault="00473417" w:rsidP="00473417">
      <w:r w:rsidRPr="00473417">
        <w:t>Tzvetan Todorov rappelle toutefois que cette distinction ne doit pas être absolutisée :</w:t>
      </w:r>
    </w:p>
    <w:p w:rsidR="00473417" w:rsidRPr="00473417" w:rsidRDefault="00473417" w:rsidP="00473417">
      <w:r w:rsidRPr="00473417">
        <w:t>« Les cultures ne sont pas des entités closes, mais des ensembles ouverts, traversés par des échanges, des influences, des conflits » (Todorov, 1989, p. 15).</w:t>
      </w:r>
    </w:p>
    <w:p w:rsidR="00473417" w:rsidRPr="00473417" w:rsidRDefault="00357815" w:rsidP="00473417">
      <w:r>
        <w:pict>
          <v:rect id="_x0000_i1028" style="width:0;height:1.5pt" o:hralign="center" o:hrstd="t" o:hr="t" fillcolor="#a0a0a0" stroked="f"/>
        </w:pict>
      </w:r>
    </w:p>
    <w:p w:rsidR="00473417" w:rsidRPr="00473417" w:rsidRDefault="00473417" w:rsidP="00473417">
      <w:pPr>
        <w:rPr>
          <w:b/>
          <w:bCs/>
        </w:rPr>
      </w:pPr>
      <w:r w:rsidRPr="00473417">
        <w:rPr>
          <w:b/>
          <w:bCs/>
        </w:rPr>
        <w:t>5. Encadré explicatif</w:t>
      </w:r>
    </w:p>
    <w:p w:rsidR="00473417" w:rsidRPr="00473417" w:rsidRDefault="00473417" w:rsidP="00473417">
      <w:r w:rsidRPr="00473417">
        <w:rPr>
          <w:rFonts w:ascii="Segoe UI Symbol" w:hAnsi="Segoe UI Symbol" w:cs="Segoe UI Symbol"/>
        </w:rPr>
        <w:t>👉</w:t>
      </w:r>
      <w:r w:rsidRPr="00473417">
        <w:t xml:space="preserve"> </w:t>
      </w:r>
      <w:r w:rsidRPr="00473417">
        <w:rPr>
          <w:b/>
          <w:bCs/>
        </w:rPr>
        <w:t>À retenir</w:t>
      </w:r>
      <w:r w:rsidRPr="00473417">
        <w:t xml:space="preserve"> :</w:t>
      </w:r>
    </w:p>
    <w:p w:rsidR="00473417" w:rsidRPr="00473417" w:rsidRDefault="00473417" w:rsidP="00473417">
      <w:pPr>
        <w:numPr>
          <w:ilvl w:val="0"/>
          <w:numId w:val="3"/>
        </w:numPr>
      </w:pPr>
      <w:r w:rsidRPr="00473417">
        <w:rPr>
          <w:b/>
          <w:bCs/>
        </w:rPr>
        <w:t>Culture</w:t>
      </w:r>
      <w:r w:rsidRPr="00473417">
        <w:t xml:space="preserve"> = valeurs, représentations, symboles, pratiques quotidiennes.</w:t>
      </w:r>
    </w:p>
    <w:p w:rsidR="00473417" w:rsidRPr="00473417" w:rsidRDefault="00473417" w:rsidP="00473417">
      <w:pPr>
        <w:numPr>
          <w:ilvl w:val="0"/>
          <w:numId w:val="3"/>
        </w:numPr>
      </w:pPr>
      <w:r w:rsidRPr="00473417">
        <w:rPr>
          <w:b/>
          <w:bCs/>
        </w:rPr>
        <w:t>Civilisation</w:t>
      </w:r>
      <w:r w:rsidRPr="00473417">
        <w:t xml:space="preserve"> = structures, institutions, organisation politique et sociale.</w:t>
      </w:r>
    </w:p>
    <w:p w:rsidR="00473417" w:rsidRPr="00473417" w:rsidRDefault="00473417" w:rsidP="00473417">
      <w:pPr>
        <w:numPr>
          <w:ilvl w:val="0"/>
          <w:numId w:val="3"/>
        </w:numPr>
      </w:pPr>
      <w:r w:rsidRPr="00473417">
        <w:t xml:space="preserve">Les deux notions sont </w:t>
      </w:r>
      <w:r w:rsidRPr="00473417">
        <w:rPr>
          <w:b/>
          <w:bCs/>
        </w:rPr>
        <w:t>complémentaires</w:t>
      </w:r>
      <w:r w:rsidRPr="00473417">
        <w:t xml:space="preserve"> : la culture nourrit la civilisation, et la civilisation façonne les conditions de la culture.</w:t>
      </w:r>
    </w:p>
    <w:p w:rsidR="00473417" w:rsidRPr="00473417" w:rsidRDefault="00357815" w:rsidP="00473417">
      <w:r>
        <w:pict>
          <v:rect id="_x0000_i1029" style="width:0;height:1.5pt" o:hralign="center" o:hrstd="t" o:hr="t" fillcolor="#a0a0a0" stroked="f"/>
        </w:pict>
      </w:r>
    </w:p>
    <w:p w:rsidR="00473417" w:rsidRPr="00473417" w:rsidRDefault="00473417" w:rsidP="00473417">
      <w:pPr>
        <w:rPr>
          <w:b/>
          <w:bCs/>
        </w:rPr>
      </w:pPr>
      <w:r w:rsidRPr="00473417">
        <w:rPr>
          <w:b/>
          <w:bCs/>
        </w:rPr>
        <w:t>6. Conclusion</w:t>
      </w:r>
    </w:p>
    <w:p w:rsidR="00473417" w:rsidRPr="00473417" w:rsidRDefault="00473417" w:rsidP="00473417">
      <w:r w:rsidRPr="00473417">
        <w:t>Cette première séance a permis de poser les distinctions fondamentales entre culture et civilisation. Tandis que la culture renvoie à la vie symbolique et expressive des sociétés, la civilisation désigne l’ensemble des structures qui organisent cette vie collective dans le temps long. Loin d’être figées, ces deux notions sont dynamiques et interconnectées. Les séances suivantes permettront d’approfondir leur évolution dans l’histoire et leur articulation avec les grands penseurs contemporains.</w:t>
      </w:r>
    </w:p>
    <w:p w:rsidR="00473417" w:rsidRPr="00473417" w:rsidRDefault="00357815" w:rsidP="00473417">
      <w:r>
        <w:pict>
          <v:rect id="_x0000_i1030" style="width:0;height:1.5pt" o:hralign="center" o:hrstd="t" o:hr="t" fillcolor="#a0a0a0" stroked="f"/>
        </w:pict>
      </w:r>
    </w:p>
    <w:p w:rsidR="00473417" w:rsidRPr="00473417" w:rsidRDefault="00473417" w:rsidP="00473417">
      <w:r w:rsidRPr="00473417">
        <w:rPr>
          <w:rFonts w:ascii="Segoe UI Symbol" w:hAnsi="Segoe UI Symbol" w:cs="Segoe UI Symbol"/>
        </w:rPr>
        <w:t>📌</w:t>
      </w:r>
      <w:r w:rsidRPr="00473417">
        <w:t xml:space="preserve"> Citations utilisées dans cette séance :</w:t>
      </w:r>
    </w:p>
    <w:p w:rsidR="00473417" w:rsidRPr="00473417" w:rsidRDefault="00473417" w:rsidP="00473417">
      <w:pPr>
        <w:numPr>
          <w:ilvl w:val="0"/>
          <w:numId w:val="4"/>
        </w:numPr>
      </w:pPr>
      <w:r w:rsidRPr="00473417">
        <w:t xml:space="preserve">Tylor, E. B. (1871). </w:t>
      </w:r>
      <w:r w:rsidRPr="00473417">
        <w:rPr>
          <w:i/>
          <w:iCs/>
        </w:rPr>
        <w:t>Primitive Culture</w:t>
      </w:r>
      <w:r w:rsidRPr="00473417">
        <w:t>. London: John Murray.</w:t>
      </w:r>
    </w:p>
    <w:p w:rsidR="00473417" w:rsidRPr="00473417" w:rsidRDefault="00473417" w:rsidP="00473417">
      <w:pPr>
        <w:numPr>
          <w:ilvl w:val="0"/>
          <w:numId w:val="4"/>
        </w:numPr>
      </w:pPr>
      <w:r w:rsidRPr="00473417">
        <w:t xml:space="preserve">Geertz, C. (1973). </w:t>
      </w:r>
      <w:r w:rsidRPr="00473417">
        <w:rPr>
          <w:i/>
          <w:iCs/>
        </w:rPr>
        <w:t>The Interpretation of Cultures</w:t>
      </w:r>
      <w:r w:rsidRPr="00473417">
        <w:t>. New York: Basic Books.</w:t>
      </w:r>
    </w:p>
    <w:p w:rsidR="00473417" w:rsidRPr="00473417" w:rsidRDefault="00473417" w:rsidP="00473417">
      <w:pPr>
        <w:numPr>
          <w:ilvl w:val="0"/>
          <w:numId w:val="4"/>
        </w:numPr>
      </w:pPr>
      <w:r w:rsidRPr="00473417">
        <w:t xml:space="preserve">Elias, N. (1969). </w:t>
      </w:r>
      <w:r w:rsidRPr="00473417">
        <w:rPr>
          <w:i/>
          <w:iCs/>
        </w:rPr>
        <w:t>La civilisation des mœurs</w:t>
      </w:r>
      <w:r w:rsidRPr="00473417">
        <w:t>. Paris: Calmann-Lévy.</w:t>
      </w:r>
    </w:p>
    <w:p w:rsidR="00473417" w:rsidRPr="00473417" w:rsidRDefault="00473417" w:rsidP="00473417">
      <w:pPr>
        <w:numPr>
          <w:ilvl w:val="0"/>
          <w:numId w:val="4"/>
        </w:numPr>
      </w:pPr>
      <w:r w:rsidRPr="00473417">
        <w:lastRenderedPageBreak/>
        <w:t xml:space="preserve">Braudel, F. (1963). </w:t>
      </w:r>
      <w:r w:rsidRPr="00473417">
        <w:rPr>
          <w:i/>
          <w:iCs/>
        </w:rPr>
        <w:t>La Méditerranée et le monde méditerranéen à l’époque de Philippe II</w:t>
      </w:r>
      <w:r w:rsidRPr="00473417">
        <w:t>. Paris: Armand Colin.</w:t>
      </w:r>
    </w:p>
    <w:p w:rsidR="00473417" w:rsidRPr="00473417" w:rsidRDefault="00473417" w:rsidP="00473417">
      <w:pPr>
        <w:numPr>
          <w:ilvl w:val="0"/>
          <w:numId w:val="4"/>
        </w:numPr>
      </w:pPr>
      <w:r w:rsidRPr="00473417">
        <w:t xml:space="preserve">Todorov, T. (1989). </w:t>
      </w:r>
      <w:r w:rsidRPr="00473417">
        <w:rPr>
          <w:i/>
          <w:iCs/>
        </w:rPr>
        <w:t>Nous et les autres</w:t>
      </w:r>
      <w:r w:rsidRPr="00473417">
        <w:t>. Paris: Seuil.</w:t>
      </w:r>
    </w:p>
    <w:p w:rsidR="00EC2806" w:rsidRDefault="00EC2806"/>
    <w:sectPr w:rsidR="00EC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77C16"/>
    <w:multiLevelType w:val="multilevel"/>
    <w:tmpl w:val="39000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A32B36"/>
    <w:multiLevelType w:val="multilevel"/>
    <w:tmpl w:val="CE38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44115E"/>
    <w:multiLevelType w:val="multilevel"/>
    <w:tmpl w:val="1200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320FD4"/>
    <w:multiLevelType w:val="multilevel"/>
    <w:tmpl w:val="C628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17"/>
    <w:rsid w:val="00357815"/>
    <w:rsid w:val="00473417"/>
    <w:rsid w:val="00EC2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E14B"/>
  <w15:chartTrackingRefBased/>
  <w15:docId w15:val="{2C956687-5A30-4C27-B063-8F8D8C03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43681">
      <w:bodyDiv w:val="1"/>
      <w:marLeft w:val="0"/>
      <w:marRight w:val="0"/>
      <w:marTop w:val="0"/>
      <w:marBottom w:val="0"/>
      <w:divBdr>
        <w:top w:val="none" w:sz="0" w:space="0" w:color="auto"/>
        <w:left w:val="none" w:sz="0" w:space="0" w:color="auto"/>
        <w:bottom w:val="none" w:sz="0" w:space="0" w:color="auto"/>
        <w:right w:val="none" w:sz="0" w:space="0" w:color="auto"/>
      </w:divBdr>
      <w:divsChild>
        <w:div w:id="356001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468651">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509414053">
          <w:blockQuote w:val="1"/>
          <w:marLeft w:val="720"/>
          <w:marRight w:val="720"/>
          <w:marTop w:val="100"/>
          <w:marBottom w:val="100"/>
          <w:divBdr>
            <w:top w:val="none" w:sz="0" w:space="0" w:color="auto"/>
            <w:left w:val="none" w:sz="0" w:space="0" w:color="auto"/>
            <w:bottom w:val="none" w:sz="0" w:space="0" w:color="auto"/>
            <w:right w:val="none" w:sz="0" w:space="0" w:color="auto"/>
          </w:divBdr>
        </w:div>
        <w:div w:id="3678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712</Words>
  <Characters>3920</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2025-09-27T09:18:00Z</dcterms:created>
  <dcterms:modified xsi:type="dcterms:W3CDTF">2025-12-22T09:09:00Z</dcterms:modified>
</cp:coreProperties>
</file>