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4F" w:rsidRPr="0019144F" w:rsidRDefault="0019144F" w:rsidP="0019144F">
      <w:pPr>
        <w:shd w:val="clear" w:color="auto" w:fill="FFFFFF"/>
        <w:spacing w:before="384" w:after="192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Core Definition</w:t>
      </w:r>
    </w:p>
    <w:p w:rsidR="0019144F" w:rsidRPr="0019144F" w:rsidRDefault="0019144F" w:rsidP="0019144F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The 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 approach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 (or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linguistics) is a branch of linguistics that shifts the focus from language as an abstract, impersonal system (the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what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) to the concrete act of speaking or writing by an individual in a specific context (the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how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,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who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, and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where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).</w:t>
      </w:r>
    </w:p>
    <w:p w:rsidR="0019144F" w:rsidRPr="0019144F" w:rsidRDefault="0019144F" w:rsidP="0019144F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In short, it's the study of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utterance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(</w:t>
      </w:r>
      <w:proofErr w:type="spellStart"/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énonciation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in French) rather than just the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utterance itself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(</w:t>
      </w:r>
      <w:proofErr w:type="spellStart"/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énoncé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).</w:t>
      </w:r>
    </w:p>
    <w:p w:rsidR="0019144F" w:rsidRPr="0019144F" w:rsidRDefault="0019144F" w:rsidP="0019144F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14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.6pt" o:hralign="center" o:hrstd="t" o:hrnoshade="t" o:hr="t" fillcolor="#0f1115" stroked="f"/>
        </w:pict>
      </w:r>
    </w:p>
    <w:p w:rsidR="0019144F" w:rsidRPr="0019144F" w:rsidRDefault="0019144F" w:rsidP="0019144F">
      <w:pPr>
        <w:shd w:val="clear" w:color="auto" w:fill="FFFFFF"/>
        <w:spacing w:before="384" w:after="192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The Fundamental Shift: From Sentence to Utterance</w:t>
      </w:r>
    </w:p>
    <w:p w:rsidR="0019144F" w:rsidRPr="0019144F" w:rsidRDefault="0019144F" w:rsidP="0019144F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To understand this, it's helpful to contrast it with the traditional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structuralist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view:</w:t>
      </w:r>
    </w:p>
    <w:p w:rsidR="0019144F" w:rsidRPr="0019144F" w:rsidRDefault="0019144F" w:rsidP="0019144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Sentence (</w:t>
      </w:r>
      <w:proofErr w:type="spellStart"/>
      <w:r w:rsidRPr="0019144F">
        <w:rPr>
          <w:rFonts w:ascii="Segoe UI" w:eastAsia="Times New Roman" w:hAnsi="Segoe UI" w:cs="Segoe UI"/>
          <w:b/>
          <w:bCs/>
          <w:i/>
          <w:iCs/>
          <w:color w:val="0F1115"/>
          <w:sz w:val="19"/>
          <w:lang w:val="en-US" w:eastAsia="fr-FR"/>
        </w:rPr>
        <w:t>Énoncé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):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This is the abstract, grammatical string of words. "The door is closed." Analyzed in isolation, this sentence is just a statement of fact.</w:t>
      </w:r>
    </w:p>
    <w:p w:rsidR="0019144F" w:rsidRPr="0019144F" w:rsidRDefault="0019144F" w:rsidP="0019144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Utterance (</w:t>
      </w:r>
      <w:proofErr w:type="spellStart"/>
      <w:r w:rsidRPr="0019144F">
        <w:rPr>
          <w:rFonts w:ascii="Segoe UI" w:eastAsia="Times New Roman" w:hAnsi="Segoe UI" w:cs="Segoe UI"/>
          <w:b/>
          <w:bCs/>
          <w:i/>
          <w:iCs/>
          <w:color w:val="0F1115"/>
          <w:sz w:val="19"/>
          <w:lang w:val="en-US" w:eastAsia="fr-FR"/>
        </w:rPr>
        <w:t>Énonciation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):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 This is the act of a specific speaker producing that sentence in a real situation.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It's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 xml:space="preserve"> the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event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 xml:space="preserve"> of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speaking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 xml:space="preserve">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itself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.</w:t>
      </w:r>
    </w:p>
    <w:p w:rsidR="0019144F" w:rsidRPr="0019144F" w:rsidRDefault="0019144F" w:rsidP="0019144F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The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approach argues that the meaning of "The door is closed" changes dramatically depending on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who says it, to whom, when, and why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.</w:t>
      </w:r>
    </w:p>
    <w:p w:rsidR="0019144F" w:rsidRPr="0019144F" w:rsidRDefault="0019144F" w:rsidP="0019144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A parent saying it to a child might be an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order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("Don't go in there").</w:t>
      </w:r>
    </w:p>
    <w:p w:rsidR="0019144F" w:rsidRPr="0019144F" w:rsidRDefault="0019144F" w:rsidP="0019144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A guest saying it to a host might be a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request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("Could you open it, please?").</w:t>
      </w:r>
    </w:p>
    <w:p w:rsidR="0019144F" w:rsidRPr="0019144F" w:rsidRDefault="0019144F" w:rsidP="0019144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Someone discovering it upon arriving home might be an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expression of surprise or concern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("That's strange, I left it open...").</w:t>
      </w:r>
    </w:p>
    <w:p w:rsidR="0019144F" w:rsidRPr="0019144F" w:rsidRDefault="0019144F" w:rsidP="0019144F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The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approach seeks to understand and describe the linguistic "fingerprints" that the act of utterance leaves on the sentence.</w:t>
      </w:r>
    </w:p>
    <w:p w:rsidR="0019144F" w:rsidRPr="0019144F" w:rsidRDefault="0019144F" w:rsidP="0019144F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14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.6pt" o:hralign="center" o:hrstd="t" o:hrnoshade="t" o:hr="t" fillcolor="#0f1115" stroked="f"/>
        </w:pict>
      </w:r>
    </w:p>
    <w:p w:rsidR="0019144F" w:rsidRDefault="0019144F" w:rsidP="0019144F">
      <w:pPr>
        <w:shd w:val="clear" w:color="auto" w:fill="FFFFFF"/>
        <w:spacing w:before="384" w:after="192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proofErr w:type="spellStart"/>
      <w:r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Enuciation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: Speaker, co-speaker, Situation of Enunciation</w:t>
      </w:r>
    </w:p>
    <w:p w:rsidR="0019144F" w:rsidRPr="0019144F" w:rsidRDefault="0019144F" w:rsidP="0019144F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1. The Speaker (The "I" / </w:t>
      </w:r>
      <w:proofErr w:type="spellStart"/>
      <w:r w:rsidRPr="0019144F">
        <w:rPr>
          <w:rFonts w:ascii="Segoe UI" w:eastAsia="Times New Roman" w:hAnsi="Segoe UI" w:cs="Segoe UI"/>
          <w:b/>
          <w:bCs/>
          <w:i/>
          <w:iCs/>
          <w:color w:val="0F1115"/>
          <w:sz w:val="27"/>
          <w:szCs w:val="27"/>
          <w:lang w:val="en-US" w:eastAsia="fr-FR"/>
        </w:rPr>
        <w:t>Énonciateur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)</w:t>
      </w:r>
    </w:p>
    <w:p w:rsidR="0019144F" w:rsidRPr="0019144F" w:rsidRDefault="0019144F" w:rsidP="0019144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The speaker is not just a biological source of sound but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subject of the utterance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, the one who takes responsibility for the speech act and positions themselves through language.</w:t>
      </w:r>
    </w:p>
    <w:p w:rsidR="0019144F" w:rsidRPr="0019144F" w:rsidRDefault="0019144F" w:rsidP="001914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Key Idea: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speaker constructs their own "subjectivity" in the very act of speaking. By saying "I," they create a linguistic and social position.</w:t>
      </w:r>
    </w:p>
    <w:p w:rsidR="0019144F" w:rsidRPr="0019144F" w:rsidRDefault="0019144F" w:rsidP="0019144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Linguistic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 xml:space="preserve"> Manifestations:</w:t>
      </w:r>
    </w:p>
    <w:p w:rsidR="0019144F" w:rsidRPr="0019144F" w:rsidRDefault="0019144F" w:rsidP="001914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The pronoun "I":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most direct marker of the speaker's presence.</w:t>
      </w:r>
    </w:p>
    <w:p w:rsidR="0019144F" w:rsidRPr="0019144F" w:rsidRDefault="0019144F" w:rsidP="001914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Verbs of opinion and knowledge: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"I think," "I believe," "I know," "I doubt."</w:t>
      </w:r>
    </w:p>
    <w:p w:rsidR="0019144F" w:rsidRPr="0019144F" w:rsidRDefault="0019144F" w:rsidP="001914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lastRenderedPageBreak/>
        <w:t>Modality: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use of modals ("must," "should," "might") reveals the speaker's judgment, obligation, or degree of certainty.</w:t>
      </w:r>
    </w:p>
    <w:p w:rsidR="0019144F" w:rsidRPr="0019144F" w:rsidRDefault="0019144F" w:rsidP="0019144F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Evaluative language: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Adjectives and adverbs ("unfortunately," "amazingly," "a terrible idea") express the speaker's emotional or evaluative stance.</w:t>
      </w:r>
    </w:p>
    <w:p w:rsidR="0019144F" w:rsidRPr="0019144F" w:rsidRDefault="0019144F" w:rsidP="0019144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In short, the speaker is the "source" of the point of view, the evaluation, and the commitment to what is being said.</w:t>
      </w:r>
    </w:p>
    <w:p w:rsidR="0019144F" w:rsidRPr="0019144F" w:rsidRDefault="0019144F" w:rsidP="0019144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14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.75pt" o:hralign="center" o:hrstd="t" o:hrnoshade="t" o:hr="t" fillcolor="#0f1115" stroked="f"/>
        </w:pict>
      </w:r>
    </w:p>
    <w:p w:rsidR="0019144F" w:rsidRPr="0019144F" w:rsidRDefault="0019144F" w:rsidP="0019144F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2. The Co-Speaker (The "You" / </w:t>
      </w:r>
      <w:r w:rsidRPr="0019144F">
        <w:rPr>
          <w:rFonts w:ascii="Segoe UI" w:eastAsia="Times New Roman" w:hAnsi="Segoe UI" w:cs="Segoe UI"/>
          <w:b/>
          <w:bCs/>
          <w:i/>
          <w:iCs/>
          <w:color w:val="0F1115"/>
          <w:sz w:val="27"/>
          <w:szCs w:val="27"/>
          <w:lang w:val="en-US" w:eastAsia="fr-FR"/>
        </w:rPr>
        <w:t>Co-</w:t>
      </w:r>
      <w:proofErr w:type="spellStart"/>
      <w:r w:rsidRPr="0019144F">
        <w:rPr>
          <w:rFonts w:ascii="Segoe UI" w:eastAsia="Times New Roman" w:hAnsi="Segoe UI" w:cs="Segoe UI"/>
          <w:b/>
          <w:bCs/>
          <w:i/>
          <w:iCs/>
          <w:color w:val="0F1115"/>
          <w:sz w:val="27"/>
          <w:szCs w:val="27"/>
          <w:lang w:val="en-US" w:eastAsia="fr-FR"/>
        </w:rPr>
        <w:t>énonciateur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 or </w:t>
      </w:r>
      <w:proofErr w:type="spellStart"/>
      <w:r w:rsidRPr="0019144F">
        <w:rPr>
          <w:rFonts w:ascii="Segoe UI" w:eastAsia="Times New Roman" w:hAnsi="Segoe UI" w:cs="Segoe UI"/>
          <w:b/>
          <w:bCs/>
          <w:i/>
          <w:iCs/>
          <w:color w:val="0F1115"/>
          <w:sz w:val="27"/>
          <w:szCs w:val="27"/>
          <w:lang w:val="en-US" w:eastAsia="fr-FR"/>
        </w:rPr>
        <w:t>Destinataire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)</w:t>
      </w:r>
    </w:p>
    <w:p w:rsidR="0019144F" w:rsidRPr="0019144F" w:rsidRDefault="0019144F" w:rsidP="0019144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The co-speaker is the person to whom the utterance is addressed. This is not a passive recipient but an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active participant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whose presence shapes the utterance from the moment it is conceived.</w:t>
      </w:r>
    </w:p>
    <w:p w:rsidR="0019144F" w:rsidRPr="0019144F" w:rsidRDefault="0019144F" w:rsidP="0019144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Key Idea: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Every utterance is designed for an "other." The speaker constantly makes assumptions about the co-speaker's knowledge, beliefs, and expectations, and tailors their speech accordingly.</w:t>
      </w:r>
    </w:p>
    <w:p w:rsidR="0019144F" w:rsidRPr="0019144F" w:rsidRDefault="0019144F" w:rsidP="0019144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Linguistic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 xml:space="preserve"> Manifestations:</w:t>
      </w:r>
    </w:p>
    <w:p w:rsidR="0019144F" w:rsidRPr="0019144F" w:rsidRDefault="0019144F" w:rsidP="0019144F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The pronoun "you":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direct invocation of the other.</w:t>
      </w:r>
    </w:p>
    <w:p w:rsidR="0019144F" w:rsidRPr="0019144F" w:rsidRDefault="0019144F" w:rsidP="0019144F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Interrogatives: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Questions are explicitly formulated to elicit a response from the co-speaker.</w:t>
      </w:r>
    </w:p>
    <w:p w:rsidR="0019144F" w:rsidRPr="0019144F" w:rsidRDefault="0019144F" w:rsidP="0019144F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Imperatives: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Commands or requests are directed at the co-speaker to provoke an action.</w:t>
      </w:r>
    </w:p>
    <w:p w:rsidR="0019144F" w:rsidRPr="0019144F" w:rsidRDefault="0019144F" w:rsidP="0019144F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Presuppositions: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When a speaker says, "Even John passed the exam," they </w:t>
      </w:r>
      <w:r w:rsidRPr="0019144F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fr-FR"/>
        </w:rPr>
        <w:t>presuppose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 xml:space="preserve"> that the co-speaker knows that John is not a good student. 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 xml:space="preserve">This </w:t>
      </w:r>
      <w:proofErr w:type="spellStart"/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builds</w:t>
      </w:r>
      <w:proofErr w:type="spellEnd"/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 xml:space="preserve"> </w:t>
      </w:r>
      <w:proofErr w:type="spellStart"/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common</w:t>
      </w:r>
      <w:proofErr w:type="spellEnd"/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 xml:space="preserve"> </w:t>
      </w:r>
      <w:proofErr w:type="spellStart"/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ground</w:t>
      </w:r>
      <w:proofErr w:type="spellEnd"/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.</w:t>
      </w:r>
    </w:p>
    <w:p w:rsidR="0019144F" w:rsidRPr="0019144F" w:rsidRDefault="0019144F" w:rsidP="0019144F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Politeness strategies: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choice of formal vs. informal language ("sir" vs. "dude") is entirely determined by the perceived relationship with the co-speaker.</w:t>
      </w:r>
    </w:p>
    <w:p w:rsidR="0019144F" w:rsidRPr="0019144F" w:rsidRDefault="0019144F" w:rsidP="0019144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In short, the co-speaker is the "target" of the utterance, whose imagined presence governs the form and content of what is said.</w:t>
      </w:r>
    </w:p>
    <w:p w:rsidR="0019144F" w:rsidRPr="0019144F" w:rsidRDefault="0019144F" w:rsidP="0019144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14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.75pt" o:hralign="center" o:hrstd="t" o:hrnoshade="t" o:hr="t" fillcolor="#0f1115" stroked="f"/>
        </w:pict>
      </w:r>
    </w:p>
    <w:p w:rsidR="0019144F" w:rsidRPr="0019144F" w:rsidRDefault="0019144F" w:rsidP="0019144F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3. The Situation of Enunciation (The "Here and Now")</w:t>
      </w:r>
    </w:p>
    <w:p w:rsidR="0019144F" w:rsidRPr="0019144F" w:rsidRDefault="0019144F" w:rsidP="0019144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 xml:space="preserve">This is the </w:t>
      </w:r>
      <w:proofErr w:type="spellStart"/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spatio</w:t>
      </w:r>
      <w:proofErr w:type="spellEnd"/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-temporal context in which the act of speaking occurs. It is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deictic center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—the "ground zero"—to which all linguistic pointers are anchored.</w:t>
      </w:r>
    </w:p>
    <w:p w:rsidR="0019144F" w:rsidRPr="0019144F" w:rsidRDefault="0019144F" w:rsidP="0019144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lastRenderedPageBreak/>
        <w:t>Key Idea: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meaning of many words is entirely dependent on the specific moment and location of the speech act.</w:t>
      </w:r>
    </w:p>
    <w:p w:rsidR="0019144F" w:rsidRPr="0019144F" w:rsidRDefault="0019144F" w:rsidP="0019144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Linguistic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 xml:space="preserve"> Manifestations (Deixis):</w:t>
      </w:r>
    </w:p>
    <w:p w:rsidR="0019144F" w:rsidRPr="0019144F" w:rsidRDefault="0019144F" w:rsidP="0019144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 xml:space="preserve">Spatial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Deixis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"Here" (the speaker's location), "there" (not the speaker's location), "this," "that."</w:t>
      </w:r>
    </w:p>
    <w:p w:rsidR="0019144F" w:rsidRPr="0019144F" w:rsidRDefault="0019144F" w:rsidP="0019144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 xml:space="preserve">Temporal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Deixis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"Now" (the moment of speaking), "yesterday" (the day before the moment of speaking), "tomorrow," "next week."</w:t>
      </w:r>
    </w:p>
    <w:p w:rsidR="0019144F" w:rsidRPr="0019144F" w:rsidRDefault="0019144F" w:rsidP="0019144F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Tense System: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All verb tenses are calculated in relation to the "now" of the enunciation. "I </w:t>
      </w:r>
      <w:r w:rsidRPr="0019144F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fr-FR"/>
        </w:rPr>
        <w:t>ate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" (past relative to now), "I </w:t>
      </w:r>
      <w:r w:rsidRPr="0019144F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en-US" w:eastAsia="fr-FR"/>
        </w:rPr>
        <w:t>will eat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" (future relative to now).</w:t>
      </w:r>
    </w:p>
    <w:p w:rsidR="0019144F" w:rsidRPr="0019144F" w:rsidRDefault="0019144F" w:rsidP="0019144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In short, the situation of enunciation is the shared "here-and-now" that allows the speaker and co-speaker to orient themselves and interpret deictic terms.</w:t>
      </w:r>
    </w:p>
    <w:p w:rsidR="0019144F" w:rsidRPr="0019144F" w:rsidRDefault="0019144F" w:rsidP="0019144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14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.75pt" o:hralign="center" o:hrstd="t" o:hrnoshade="t" o:hr="t" fillcolor="#0f1115" stroked="f"/>
        </w:pict>
      </w:r>
    </w:p>
    <w:p w:rsidR="0019144F" w:rsidRDefault="0019144F" w:rsidP="0019144F">
      <w:pPr>
        <w:shd w:val="clear" w:color="auto" w:fill="FFFFFF"/>
        <w:spacing w:before="384" w:after="192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Key Concepts and "Linguistic Fingerprints"</w:t>
      </w:r>
    </w:p>
    <w:p w:rsidR="0019144F" w:rsidRPr="0019144F" w:rsidRDefault="0019144F" w:rsidP="0019144F">
      <w:pPr>
        <w:shd w:val="clear" w:color="auto" w:fill="FFFFFF"/>
        <w:spacing w:before="192" w:after="192" w:line="240" w:lineRule="auto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</w:t>
      </w:r>
      <w:proofErr w:type="gram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theorists,</w:t>
      </w:r>
      <w:proofErr w:type="gram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primarily developed in France by linguists like 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Émile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Benveniste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and later </w:t>
      </w: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Antoine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Culioli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, identified specific markers in language that point back to the speaker and their situation. These include:</w:t>
      </w:r>
    </w:p>
    <w:p w:rsidR="0019144F" w:rsidRPr="0019144F" w:rsidRDefault="0019144F" w:rsidP="0019144F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Deixis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 Words </w:t>
      </w:r>
      <w:proofErr w:type="gram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that are</w:t>
      </w:r>
      <w:proofErr w:type="gram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entirely dependent on the context of the utterance for their meaning.</w:t>
      </w:r>
    </w:p>
    <w:p w:rsidR="0019144F" w:rsidRPr="0019144F" w:rsidRDefault="0019144F" w:rsidP="0019144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Personal Pronouns: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"I," "you," "we." Their reference shifts with every new speaker.</w:t>
      </w:r>
    </w:p>
    <w:p w:rsidR="0019144F" w:rsidRPr="0019144F" w:rsidRDefault="0019144F" w:rsidP="0019144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Spatial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Deixis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"here," "there," "this," "that." Their meaning depends on the speaker's location.</w:t>
      </w:r>
    </w:p>
    <w:p w:rsidR="0019144F" w:rsidRPr="0019144F" w:rsidRDefault="0019144F" w:rsidP="0019144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Temporal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Deixis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"now," "then," "yesterday," "tomorrow." Their meaning depends on the moment of speaking.</w:t>
      </w:r>
    </w:p>
    <w:p w:rsidR="0019144F" w:rsidRPr="0019144F" w:rsidRDefault="0019144F" w:rsidP="0019144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Tense and Aspect: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Verb tenses don't just indicate objective time; they are anchored to the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present of the utterance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. "I saw him" (past relative to my "now"). "I will see him" (future relative to my "now").</w:t>
      </w:r>
    </w:p>
    <w:p w:rsidR="0019144F" w:rsidRPr="0019144F" w:rsidRDefault="0019144F" w:rsidP="0019144F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Modality and Subjectivity: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Language that reveals the speaker's attitude.</w:t>
      </w:r>
    </w:p>
    <w:p w:rsidR="0019144F" w:rsidRPr="0019144F" w:rsidRDefault="0019144F" w:rsidP="0019144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Modal Verbs: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"must," "should," "might," "could." These express obligation, possibility, or desire.</w:t>
      </w:r>
    </w:p>
    <w:p w:rsidR="0019144F" w:rsidRPr="0019144F" w:rsidRDefault="0019144F" w:rsidP="0019144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eastAsia="fr-FR"/>
        </w:rPr>
        <w:t>Adverbs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eastAsia="fr-FR"/>
        </w:rPr>
        <w:t>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 "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unfortunately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," "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hopefully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," "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probably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eastAsia="fr-FR"/>
        </w:rPr>
        <w:t>."</w:t>
      </w:r>
    </w:p>
    <w:p w:rsidR="0019144F" w:rsidRPr="0019144F" w:rsidRDefault="0019144F" w:rsidP="0019144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Verbs of Opinion: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"I think that...," "I believe that..."</w:t>
      </w:r>
    </w:p>
    <w:p w:rsidR="0019144F" w:rsidRPr="0019144F" w:rsidRDefault="0019144F" w:rsidP="0019144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Presupposition and Implicit Meaning: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What the speaker assumes is already known or accepted by the listener. Saying, "Have you stopped leaving the door open?" presupposes that the listener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used to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leave the door open.</w:t>
      </w:r>
    </w:p>
    <w:p w:rsidR="0019144F" w:rsidRPr="0019144F" w:rsidRDefault="0019144F" w:rsidP="0019144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Discourse Markers: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 Words like "well," "so," "however," and "anyway" </w:t>
      </w:r>
      <w:proofErr w:type="gram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that don't</w:t>
      </w:r>
      <w:proofErr w:type="gram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add propositional content but manage the flow of interaction and signal the speaker's stance.</w:t>
      </w:r>
    </w:p>
    <w:p w:rsidR="0019144F" w:rsidRPr="0019144F" w:rsidRDefault="0019144F" w:rsidP="0019144F">
      <w:pPr>
        <w:spacing w:before="384" w:after="384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144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.6pt" o:hralign="center" o:hrstd="t" o:hrnoshade="t" o:hr="t" fillcolor="#0f1115" stroked="f"/>
        </w:pict>
      </w:r>
    </w:p>
    <w:p w:rsidR="0019144F" w:rsidRPr="0019144F" w:rsidRDefault="0019144F" w:rsidP="0019144F">
      <w:pPr>
        <w:shd w:val="clear" w:color="auto" w:fill="FFFFFF"/>
        <w:spacing w:before="384" w:after="192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fr-FR"/>
        </w:rPr>
        <w:t xml:space="preserve">Major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fr-FR"/>
        </w:rPr>
        <w:t>Theorists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fr-FR"/>
        </w:rPr>
        <w:t xml:space="preserve"> and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fr-FR"/>
        </w:rPr>
        <w:t>Their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fr-FR"/>
        </w:rPr>
        <w:t xml:space="preserve"> Contributions</w:t>
      </w:r>
    </w:p>
    <w:p w:rsidR="0019144F" w:rsidRPr="0019144F" w:rsidRDefault="0019144F" w:rsidP="0019144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Émile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Benveniste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 (1902-1976):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Often considered the father of the approach. He made the crucial distinction between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histoire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 (story/history - a mode of narration with no overt speaker, e.g., "The 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lastRenderedPageBreak/>
        <w:t>king went to town") and </w:t>
      </w:r>
      <w:proofErr w:type="spellStart"/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discours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(discourse - all utterances that presuppose a speaker and a listener, e.g., "I'm telling you, the king went to town"). He famously stated, "It is in and through language that man constitutes himself as a </w:t>
      </w:r>
      <w:r w:rsidRPr="0019144F">
        <w:rPr>
          <w:rFonts w:ascii="Segoe UI" w:eastAsia="Times New Roman" w:hAnsi="Segoe UI" w:cs="Segoe UI"/>
          <w:i/>
          <w:iCs/>
          <w:color w:val="0F1115"/>
          <w:sz w:val="19"/>
          <w:lang w:val="en-US" w:eastAsia="fr-FR"/>
        </w:rPr>
        <w:t>subject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... because language alone establishes the concept of 'ego' in reality."</w:t>
      </w:r>
    </w:p>
    <w:p w:rsidR="0019144F" w:rsidRPr="0019144F" w:rsidRDefault="0019144F" w:rsidP="0019144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Antoine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Culioli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 (1924-2018):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 Developed a highly sophisticated and formal theory of </w:t>
      </w:r>
      <w:proofErr w:type="spellStart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 xml:space="preserve"> operations, focusing on how speakers "notch" and "regulate" their representations of reality through language (e.g., the operations of quantification, identification, and localization).</w:t>
      </w:r>
    </w:p>
    <w:p w:rsidR="0019144F" w:rsidRPr="0019144F" w:rsidRDefault="0019144F" w:rsidP="0019144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Oswald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>Ducrot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19"/>
          <w:lang w:val="en-US" w:eastAsia="fr-FR"/>
        </w:rPr>
        <w:t xml:space="preserve"> (1930-2020):</w:t>
      </w:r>
      <w:r w:rsidRPr="0019144F">
        <w:rPr>
          <w:rFonts w:ascii="Segoe UI" w:eastAsia="Times New Roman" w:hAnsi="Segoe UI" w:cs="Segoe UI"/>
          <w:color w:val="0F1115"/>
          <w:sz w:val="19"/>
          <w:szCs w:val="19"/>
          <w:lang w:val="en-US" w:eastAsia="fr-FR"/>
        </w:rPr>
        <w:t> Focused on argumentation within language, showing how linguistic forms are inherently oriented toward guiding the listener to certain conclusions (what he called "argumentative orientation").</w:t>
      </w:r>
    </w:p>
    <w:p w:rsidR="0019144F" w:rsidRPr="0019144F" w:rsidRDefault="0019144F" w:rsidP="0019144F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7"/>
          <w:szCs w:val="27"/>
          <w:lang w:val="en-US" w:eastAsia="fr-FR"/>
        </w:rPr>
        <w:t>Putting It All Together: An Example</w:t>
      </w:r>
    </w:p>
    <w:p w:rsidR="0019144F" w:rsidRPr="0019144F" w:rsidRDefault="0019144F" w:rsidP="0019144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Imagine two people, Alex and Blake, standing in a park as it begins to rain.</w:t>
      </w:r>
    </w:p>
    <w:p w:rsidR="0019144F" w:rsidRPr="0019144F" w:rsidRDefault="0019144F" w:rsidP="00191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Speaker: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Alex</w:t>
      </w:r>
    </w:p>
    <w:p w:rsidR="0019144F" w:rsidRPr="0019144F" w:rsidRDefault="0019144F" w:rsidP="00191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Co-Speaker: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  <w:t> Blake</w:t>
      </w:r>
    </w:p>
    <w:p w:rsidR="0019144F" w:rsidRPr="0019144F" w:rsidRDefault="0019144F" w:rsidP="00191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Situation of Enunciation: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In the park, at the moment the rain starts.</w:t>
      </w:r>
    </w:p>
    <w:p w:rsidR="0019144F" w:rsidRPr="0019144F" w:rsidRDefault="0019144F" w:rsidP="0019144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Alex turns to Blake and says:</w:t>
      </w:r>
    </w:p>
    <w:p w:rsidR="0019144F" w:rsidRPr="0019144F" w:rsidRDefault="0019144F" w:rsidP="0019144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"Wow, it's really coming down now, isn't it? We should go back to my place."</w:t>
      </w:r>
    </w:p>
    <w:p w:rsidR="0019144F" w:rsidRPr="0019144F" w:rsidRDefault="0019144F" w:rsidP="0019144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fr-FR"/>
        </w:rPr>
      </w:pP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Enunciative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 xml:space="preserve"> </w:t>
      </w:r>
      <w:proofErr w:type="spell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Analysis</w:t>
      </w:r>
      <w:proofErr w:type="spell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:</w:t>
      </w:r>
    </w:p>
    <w:p w:rsidR="0019144F" w:rsidRPr="0019144F" w:rsidRDefault="0019144F" w:rsidP="0019144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"Wow" / "really":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Expresses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speaker's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(Alex's) subjective evaluation and surprise.</w:t>
      </w:r>
    </w:p>
    <w:p w:rsidR="0019144F" w:rsidRPr="0019144F" w:rsidRDefault="0019144F" w:rsidP="0019144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</w:t>
      </w:r>
      <w:proofErr w:type="gram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now</w:t>
      </w:r>
      <w:proofErr w:type="gram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A temporal deictic anchored to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situation of enunciation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(the moment the rain intensified).</w:t>
      </w:r>
    </w:p>
    <w:p w:rsidR="0019144F" w:rsidRPr="0019144F" w:rsidRDefault="0019144F" w:rsidP="0019144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</w:t>
      </w:r>
      <w:proofErr w:type="gram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isn't</w:t>
      </w:r>
      <w:proofErr w:type="gram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 xml:space="preserve"> it?":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A "tag question" that explicitly engages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co-speaker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(Blake), seeking confirmation and building agreement.</w:t>
      </w:r>
    </w:p>
    <w:p w:rsidR="0019144F" w:rsidRPr="0019144F" w:rsidRDefault="0019144F" w:rsidP="0019144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"We":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Includes both the speaker and the co-speaker, creating a shared group.</w:t>
      </w:r>
    </w:p>
    <w:p w:rsidR="0019144F" w:rsidRPr="0019144F" w:rsidRDefault="0019144F" w:rsidP="0019144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</w:t>
      </w:r>
      <w:proofErr w:type="gram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should</w:t>
      </w:r>
      <w:proofErr w:type="gram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A modal verb revealing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speaker's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judgment about what is the best course of action.</w:t>
      </w:r>
    </w:p>
    <w:p w:rsidR="0019144F" w:rsidRPr="0019144F" w:rsidRDefault="0019144F" w:rsidP="0019144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</w:pP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"</w:t>
      </w:r>
      <w:proofErr w:type="gramStart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my</w:t>
      </w:r>
      <w:proofErr w:type="gramEnd"/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 xml:space="preserve"> place":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The possessive "my" refers back to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speaker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(Alex), and the meaning of "place" is fully understood by the </w:t>
      </w:r>
      <w:r w:rsidRPr="0019144F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fr-FR"/>
        </w:rPr>
        <w:t>co-speaker</w:t>
      </w:r>
      <w:r w:rsidRPr="0019144F">
        <w:rPr>
          <w:rFonts w:ascii="Segoe UI" w:eastAsia="Times New Roman" w:hAnsi="Segoe UI" w:cs="Segoe UI"/>
          <w:color w:val="0F1115"/>
          <w:sz w:val="24"/>
          <w:szCs w:val="24"/>
          <w:lang w:val="en-US" w:eastAsia="fr-FR"/>
        </w:rPr>
        <w:t> (Blake) within their shared context.</w:t>
      </w:r>
    </w:p>
    <w:p w:rsidR="00A06DE9" w:rsidRPr="0019144F" w:rsidRDefault="0019144F">
      <w:pPr>
        <w:rPr>
          <w:lang w:val="en-US"/>
        </w:rPr>
      </w:pPr>
    </w:p>
    <w:sectPr w:rsidR="00A06DE9" w:rsidRPr="0019144F" w:rsidSect="00470F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51A"/>
    <w:multiLevelType w:val="multilevel"/>
    <w:tmpl w:val="C1AA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A47C3"/>
    <w:multiLevelType w:val="multilevel"/>
    <w:tmpl w:val="86C0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73A87"/>
    <w:multiLevelType w:val="multilevel"/>
    <w:tmpl w:val="F91C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90B44"/>
    <w:multiLevelType w:val="multilevel"/>
    <w:tmpl w:val="C2F2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56323"/>
    <w:multiLevelType w:val="multilevel"/>
    <w:tmpl w:val="14FC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60020"/>
    <w:multiLevelType w:val="multilevel"/>
    <w:tmpl w:val="04A6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24B1A"/>
    <w:multiLevelType w:val="multilevel"/>
    <w:tmpl w:val="C34A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35FBA"/>
    <w:multiLevelType w:val="multilevel"/>
    <w:tmpl w:val="E24E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13733"/>
    <w:multiLevelType w:val="multilevel"/>
    <w:tmpl w:val="CE4A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9144F"/>
    <w:rsid w:val="0019144F"/>
    <w:rsid w:val="00470F90"/>
    <w:rsid w:val="009E7239"/>
    <w:rsid w:val="00E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90"/>
  </w:style>
  <w:style w:type="paragraph" w:styleId="Titre3">
    <w:name w:val="heading 3"/>
    <w:basedOn w:val="Normal"/>
    <w:link w:val="Titre3Car"/>
    <w:uiPriority w:val="9"/>
    <w:qFormat/>
    <w:rsid w:val="00191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914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ds-markdown-paragraph">
    <w:name w:val="ds-markdown-paragraph"/>
    <w:basedOn w:val="Normal"/>
    <w:rsid w:val="0019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144F"/>
    <w:rPr>
      <w:b/>
      <w:bCs/>
    </w:rPr>
  </w:style>
  <w:style w:type="character" w:styleId="Accentuation">
    <w:name w:val="Emphasis"/>
    <w:basedOn w:val="Policepardfaut"/>
    <w:uiPriority w:val="20"/>
    <w:qFormat/>
    <w:rsid w:val="001914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48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4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6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1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1238</Words>
  <Characters>6814</Characters>
  <Application>Microsoft Office Word</Application>
  <DocSecurity>0</DocSecurity>
  <Lines>56</Lines>
  <Paragraphs>16</Paragraphs>
  <ScaleCrop>false</ScaleCrop>
  <Company>Hewlett-Packard Company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2025-11-24T22:12:00Z</dcterms:created>
  <dcterms:modified xsi:type="dcterms:W3CDTF">2025-11-24T22:22:00Z</dcterms:modified>
</cp:coreProperties>
</file>