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E25" w:rsidRDefault="00306E25" w:rsidP="00306E25">
      <w:pPr>
        <w:pStyle w:val="Default"/>
        <w:numPr>
          <w:ilvl w:val="0"/>
          <w:numId w:val="1"/>
        </w:numPr>
        <w:rPr>
          <w:rFonts w:asciiTheme="majorBidi" w:hAnsiTheme="majorBidi" w:cstheme="majorBidi"/>
          <w:b/>
          <w:bCs/>
          <w:color w:val="00B0F0"/>
          <w:sz w:val="52"/>
          <w:szCs w:val="52"/>
        </w:rPr>
      </w:pPr>
    </w:p>
    <w:p w:rsidR="00E65FB7" w:rsidRPr="00ED4751" w:rsidRDefault="00E65FB7" w:rsidP="00ED4751">
      <w:pPr>
        <w:pStyle w:val="Default"/>
        <w:jc w:val="center"/>
        <w:rPr>
          <w:rFonts w:asciiTheme="majorBidi" w:hAnsiTheme="majorBidi" w:cstheme="majorBidi"/>
          <w:sz w:val="40"/>
          <w:szCs w:val="40"/>
        </w:rPr>
      </w:pPr>
      <w:r w:rsidRPr="00DD631C">
        <w:rPr>
          <w:rFonts w:asciiTheme="majorBidi" w:hAnsiTheme="majorBidi" w:cstheme="majorBidi"/>
          <w:b/>
          <w:bCs/>
          <w:color w:val="00B0F0"/>
          <w:sz w:val="52"/>
          <w:szCs w:val="52"/>
        </w:rPr>
        <w:t>Littérati</w:t>
      </w:r>
      <w:r w:rsidR="008C3F53">
        <w:rPr>
          <w:rFonts w:asciiTheme="majorBidi" w:hAnsiTheme="majorBidi" w:cstheme="majorBidi"/>
          <w:b/>
          <w:bCs/>
          <w:color w:val="00B0F0"/>
          <w:sz w:val="52"/>
          <w:szCs w:val="52"/>
        </w:rPr>
        <w:t>e numérique pour l’enseignement-</w:t>
      </w:r>
      <w:r w:rsidRPr="00DD631C">
        <w:rPr>
          <w:rFonts w:asciiTheme="majorBidi" w:hAnsiTheme="majorBidi" w:cstheme="majorBidi"/>
          <w:b/>
          <w:bCs/>
          <w:color w:val="00B0F0"/>
          <w:sz w:val="52"/>
          <w:szCs w:val="52"/>
        </w:rPr>
        <w:t>apprentissage des langues</w:t>
      </w:r>
    </w:p>
    <w:p w:rsidR="00ED4751" w:rsidRDefault="00ED4751" w:rsidP="00ED4751">
      <w:pPr>
        <w:pStyle w:val="Default"/>
        <w:ind w:firstLine="708"/>
        <w:rPr>
          <w:rFonts w:asciiTheme="majorBidi" w:hAnsiTheme="majorBidi" w:cstheme="majorBidi"/>
          <w:sz w:val="36"/>
          <w:szCs w:val="36"/>
        </w:rPr>
      </w:pPr>
    </w:p>
    <w:p w:rsidR="00AF4951" w:rsidRPr="00ED4751" w:rsidRDefault="00AF4951" w:rsidP="00ED4751">
      <w:pPr>
        <w:pStyle w:val="Default"/>
        <w:ind w:firstLine="708"/>
        <w:rPr>
          <w:rFonts w:asciiTheme="majorBidi" w:hAnsiTheme="majorBidi" w:cstheme="majorBidi"/>
          <w:sz w:val="36"/>
          <w:szCs w:val="36"/>
        </w:rPr>
      </w:pPr>
    </w:p>
    <w:p w:rsidR="00ED4751" w:rsidRDefault="00E65FB7" w:rsidP="0000792C">
      <w:pPr>
        <w:pStyle w:val="Default"/>
        <w:ind w:firstLine="708"/>
        <w:jc w:val="both"/>
        <w:rPr>
          <w:rFonts w:asciiTheme="majorBidi" w:hAnsiTheme="majorBidi" w:cstheme="majorBidi"/>
          <w:sz w:val="36"/>
          <w:szCs w:val="36"/>
        </w:rPr>
      </w:pPr>
      <w:r w:rsidRPr="00ED4751">
        <w:rPr>
          <w:rFonts w:asciiTheme="majorBidi" w:hAnsiTheme="majorBidi" w:cstheme="majorBidi"/>
          <w:sz w:val="36"/>
          <w:szCs w:val="36"/>
        </w:rPr>
        <w:t>Devant le rythme soutenu du changement et l’introduction continue de nouvelles technologies, les citoyens du XXI</w:t>
      </w:r>
      <w:r w:rsidRPr="00ED4751">
        <w:rPr>
          <w:rFonts w:asciiTheme="majorBidi" w:hAnsiTheme="majorBidi" w:cstheme="majorBidi"/>
          <w:sz w:val="22"/>
          <w:szCs w:val="22"/>
        </w:rPr>
        <w:t xml:space="preserve">e </w:t>
      </w:r>
      <w:r w:rsidRPr="00ED4751">
        <w:rPr>
          <w:rFonts w:asciiTheme="majorBidi" w:hAnsiTheme="majorBidi" w:cstheme="majorBidi"/>
          <w:sz w:val="36"/>
          <w:szCs w:val="36"/>
        </w:rPr>
        <w:t xml:space="preserve">siècle doivent </w:t>
      </w:r>
      <w:r w:rsidRPr="00ED4751">
        <w:rPr>
          <w:rFonts w:asciiTheme="majorBidi" w:hAnsiTheme="majorBidi" w:cstheme="majorBidi"/>
          <w:color w:val="FF0000"/>
          <w:sz w:val="36"/>
          <w:szCs w:val="36"/>
        </w:rPr>
        <w:t xml:space="preserve">tenir à jour </w:t>
      </w:r>
      <w:r w:rsidRPr="00ED4751">
        <w:rPr>
          <w:rFonts w:asciiTheme="majorBidi" w:hAnsiTheme="majorBidi" w:cstheme="majorBidi"/>
          <w:sz w:val="36"/>
          <w:szCs w:val="36"/>
        </w:rPr>
        <w:t xml:space="preserve">leurs </w:t>
      </w:r>
      <w:r w:rsidRPr="00ED4751">
        <w:rPr>
          <w:rFonts w:asciiTheme="majorBidi" w:hAnsiTheme="majorBidi" w:cstheme="majorBidi"/>
          <w:b/>
          <w:bCs/>
          <w:color w:val="FF0000"/>
          <w:sz w:val="36"/>
          <w:szCs w:val="36"/>
        </w:rPr>
        <w:t>compétences numériques</w:t>
      </w:r>
      <w:r w:rsidRPr="00ED4751">
        <w:rPr>
          <w:rFonts w:asciiTheme="majorBidi" w:hAnsiTheme="majorBidi" w:cstheme="majorBidi"/>
          <w:color w:val="FF0000"/>
          <w:sz w:val="36"/>
          <w:szCs w:val="36"/>
        </w:rPr>
        <w:t xml:space="preserve"> </w:t>
      </w:r>
      <w:r w:rsidRPr="00ED4751">
        <w:rPr>
          <w:rFonts w:asciiTheme="majorBidi" w:hAnsiTheme="majorBidi" w:cstheme="majorBidi"/>
          <w:sz w:val="36"/>
          <w:szCs w:val="36"/>
        </w:rPr>
        <w:t>qui leur permettront de s’adapter au changement</w:t>
      </w:r>
      <w:r w:rsidR="00ED4751">
        <w:rPr>
          <w:rFonts w:asciiTheme="majorBidi" w:hAnsiTheme="majorBidi" w:cstheme="majorBidi"/>
          <w:sz w:val="36"/>
          <w:szCs w:val="36"/>
        </w:rPr>
        <w:t>.</w:t>
      </w:r>
    </w:p>
    <w:p w:rsidR="00ED4751" w:rsidRDefault="00ED4751" w:rsidP="00ED4751">
      <w:pPr>
        <w:pStyle w:val="Default"/>
        <w:ind w:firstLine="708"/>
        <w:jc w:val="both"/>
        <w:rPr>
          <w:rFonts w:asciiTheme="majorBidi" w:hAnsiTheme="majorBidi" w:cstheme="majorBidi"/>
          <w:sz w:val="36"/>
          <w:szCs w:val="36"/>
        </w:rPr>
      </w:pPr>
    </w:p>
    <w:p w:rsidR="00657AF0" w:rsidRDefault="00E65FB7" w:rsidP="00ED4751">
      <w:pPr>
        <w:pStyle w:val="Default"/>
        <w:ind w:firstLine="708"/>
        <w:jc w:val="both"/>
        <w:rPr>
          <w:rFonts w:asciiTheme="majorBidi" w:hAnsiTheme="majorBidi" w:cstheme="majorBidi"/>
          <w:sz w:val="36"/>
          <w:szCs w:val="36"/>
        </w:rPr>
      </w:pPr>
      <w:r w:rsidRPr="00ED4751">
        <w:rPr>
          <w:rFonts w:asciiTheme="majorBidi" w:hAnsiTheme="majorBidi" w:cstheme="majorBidi"/>
          <w:sz w:val="36"/>
          <w:szCs w:val="36"/>
        </w:rPr>
        <w:t xml:space="preserve">Au cours des vingt dernières années, plusieurs termes ont été utilisés pour désigner ces compétences : </w:t>
      </w:r>
      <w:r w:rsidRPr="00ED4751">
        <w:rPr>
          <w:rFonts w:asciiTheme="majorBidi" w:hAnsiTheme="majorBidi" w:cstheme="majorBidi"/>
          <w:i/>
          <w:iCs/>
          <w:sz w:val="36"/>
          <w:szCs w:val="36"/>
        </w:rPr>
        <w:t xml:space="preserve">computer </w:t>
      </w:r>
      <w:proofErr w:type="spellStart"/>
      <w:r w:rsidRPr="00ED4751">
        <w:rPr>
          <w:rFonts w:asciiTheme="majorBidi" w:hAnsiTheme="majorBidi" w:cstheme="majorBidi"/>
          <w:i/>
          <w:iCs/>
          <w:sz w:val="36"/>
          <w:szCs w:val="36"/>
        </w:rPr>
        <w:t>literacy</w:t>
      </w:r>
      <w:proofErr w:type="spellEnd"/>
      <w:r w:rsidRPr="00ED4751">
        <w:rPr>
          <w:rFonts w:asciiTheme="majorBidi" w:hAnsiTheme="majorBidi" w:cstheme="majorBidi"/>
          <w:sz w:val="36"/>
          <w:szCs w:val="36"/>
        </w:rPr>
        <w:t xml:space="preserve">, </w:t>
      </w:r>
      <w:r w:rsidRPr="00ED4751">
        <w:rPr>
          <w:rFonts w:asciiTheme="majorBidi" w:hAnsiTheme="majorBidi" w:cstheme="majorBidi"/>
          <w:i/>
          <w:iCs/>
          <w:sz w:val="36"/>
          <w:szCs w:val="36"/>
        </w:rPr>
        <w:t xml:space="preserve">ICT </w:t>
      </w:r>
      <w:proofErr w:type="spellStart"/>
      <w:r w:rsidRPr="00ED4751">
        <w:rPr>
          <w:rFonts w:asciiTheme="majorBidi" w:hAnsiTheme="majorBidi" w:cstheme="majorBidi"/>
          <w:i/>
          <w:iCs/>
          <w:sz w:val="36"/>
          <w:szCs w:val="36"/>
        </w:rPr>
        <w:t>literacy</w:t>
      </w:r>
      <w:proofErr w:type="spellEnd"/>
      <w:r w:rsidRPr="00ED4751">
        <w:rPr>
          <w:rFonts w:asciiTheme="majorBidi" w:hAnsiTheme="majorBidi" w:cstheme="majorBidi"/>
          <w:sz w:val="36"/>
          <w:szCs w:val="36"/>
        </w:rPr>
        <w:t xml:space="preserve">, </w:t>
      </w:r>
      <w:r w:rsidRPr="00ED4751">
        <w:rPr>
          <w:rFonts w:asciiTheme="majorBidi" w:hAnsiTheme="majorBidi" w:cstheme="majorBidi"/>
          <w:i/>
          <w:iCs/>
          <w:sz w:val="36"/>
          <w:szCs w:val="36"/>
        </w:rPr>
        <w:t xml:space="preserve">media </w:t>
      </w:r>
      <w:proofErr w:type="spellStart"/>
      <w:r w:rsidRPr="00ED4751">
        <w:rPr>
          <w:rFonts w:asciiTheme="majorBidi" w:hAnsiTheme="majorBidi" w:cstheme="majorBidi"/>
          <w:i/>
          <w:iCs/>
          <w:sz w:val="36"/>
          <w:szCs w:val="36"/>
        </w:rPr>
        <w:t>literacy</w:t>
      </w:r>
      <w:proofErr w:type="spellEnd"/>
      <w:r w:rsidRPr="00ED4751">
        <w:rPr>
          <w:rFonts w:asciiTheme="majorBidi" w:hAnsiTheme="majorBidi" w:cstheme="majorBidi"/>
          <w:sz w:val="36"/>
          <w:szCs w:val="36"/>
        </w:rPr>
        <w:t xml:space="preserve">, </w:t>
      </w:r>
      <w:r w:rsidRPr="00ED4751">
        <w:rPr>
          <w:rFonts w:asciiTheme="majorBidi" w:hAnsiTheme="majorBidi" w:cstheme="majorBidi"/>
          <w:i/>
          <w:iCs/>
          <w:sz w:val="36"/>
          <w:szCs w:val="36"/>
        </w:rPr>
        <w:t xml:space="preserve">information </w:t>
      </w:r>
      <w:proofErr w:type="spellStart"/>
      <w:r w:rsidRPr="00ED4751">
        <w:rPr>
          <w:rFonts w:asciiTheme="majorBidi" w:hAnsiTheme="majorBidi" w:cstheme="majorBidi"/>
          <w:i/>
          <w:iCs/>
          <w:sz w:val="36"/>
          <w:szCs w:val="36"/>
        </w:rPr>
        <w:t>literacy</w:t>
      </w:r>
      <w:proofErr w:type="spellEnd"/>
      <w:r w:rsidRPr="00ED4751">
        <w:rPr>
          <w:rFonts w:asciiTheme="majorBidi" w:hAnsiTheme="majorBidi" w:cstheme="majorBidi"/>
          <w:i/>
          <w:iCs/>
          <w:sz w:val="36"/>
          <w:szCs w:val="36"/>
        </w:rPr>
        <w:t xml:space="preserve"> </w:t>
      </w:r>
      <w:r w:rsidRPr="00ED4751">
        <w:rPr>
          <w:rFonts w:asciiTheme="majorBidi" w:hAnsiTheme="majorBidi" w:cstheme="majorBidi"/>
          <w:sz w:val="36"/>
          <w:szCs w:val="36"/>
        </w:rPr>
        <w:t xml:space="preserve">et </w:t>
      </w:r>
      <w:r w:rsidRPr="00ED4751">
        <w:rPr>
          <w:rFonts w:asciiTheme="majorBidi" w:hAnsiTheme="majorBidi" w:cstheme="majorBidi"/>
          <w:i/>
          <w:iCs/>
          <w:sz w:val="36"/>
          <w:szCs w:val="36"/>
        </w:rPr>
        <w:t xml:space="preserve">digital </w:t>
      </w:r>
      <w:proofErr w:type="spellStart"/>
      <w:r w:rsidRPr="00ED4751">
        <w:rPr>
          <w:rFonts w:asciiTheme="majorBidi" w:hAnsiTheme="majorBidi" w:cstheme="majorBidi"/>
          <w:i/>
          <w:iCs/>
          <w:sz w:val="36"/>
          <w:szCs w:val="36"/>
        </w:rPr>
        <w:t>literacy</w:t>
      </w:r>
      <w:proofErr w:type="spellEnd"/>
      <w:r w:rsidR="00657AF0">
        <w:rPr>
          <w:rFonts w:asciiTheme="majorBidi" w:hAnsiTheme="majorBidi" w:cstheme="majorBidi"/>
          <w:sz w:val="36"/>
          <w:szCs w:val="36"/>
        </w:rPr>
        <w:t>.</w:t>
      </w:r>
    </w:p>
    <w:p w:rsidR="00657AF0" w:rsidRDefault="00657AF0" w:rsidP="00ED4751">
      <w:pPr>
        <w:pStyle w:val="Default"/>
        <w:ind w:firstLine="708"/>
        <w:jc w:val="both"/>
        <w:rPr>
          <w:rFonts w:asciiTheme="majorBidi" w:hAnsiTheme="majorBidi" w:cstheme="majorBidi"/>
          <w:sz w:val="36"/>
          <w:szCs w:val="36"/>
        </w:rPr>
      </w:pPr>
    </w:p>
    <w:p w:rsidR="00E65FB7" w:rsidRPr="00ED4751" w:rsidRDefault="00E65FB7" w:rsidP="00ED4751">
      <w:pPr>
        <w:pStyle w:val="Default"/>
        <w:ind w:firstLine="708"/>
        <w:jc w:val="both"/>
        <w:rPr>
          <w:rFonts w:asciiTheme="majorBidi" w:hAnsiTheme="majorBidi" w:cstheme="majorBidi"/>
          <w:sz w:val="36"/>
          <w:szCs w:val="36"/>
        </w:rPr>
      </w:pPr>
      <w:r w:rsidRPr="00ED4751">
        <w:rPr>
          <w:rFonts w:asciiTheme="majorBidi" w:hAnsiTheme="majorBidi" w:cstheme="majorBidi"/>
          <w:sz w:val="36"/>
          <w:szCs w:val="36"/>
        </w:rPr>
        <w:t xml:space="preserve">Depuis les cinq dernières années, un consensus émerge sur le terme de </w:t>
      </w:r>
      <w:r w:rsidRPr="00657AF0">
        <w:rPr>
          <w:rFonts w:asciiTheme="majorBidi" w:hAnsiTheme="majorBidi" w:cstheme="majorBidi"/>
          <w:b/>
          <w:bCs/>
          <w:sz w:val="36"/>
          <w:szCs w:val="36"/>
        </w:rPr>
        <w:t>littératie numérique</w:t>
      </w:r>
      <w:r w:rsidRPr="00ED4751">
        <w:rPr>
          <w:rFonts w:asciiTheme="majorBidi" w:hAnsiTheme="majorBidi" w:cstheme="majorBidi"/>
          <w:sz w:val="36"/>
          <w:szCs w:val="36"/>
        </w:rPr>
        <w:t xml:space="preserve">, plus englobant, significatif et générique </w:t>
      </w:r>
      <w:r w:rsidR="00657AF0">
        <w:rPr>
          <w:rFonts w:asciiTheme="majorBidi" w:hAnsiTheme="majorBidi" w:cstheme="majorBidi"/>
          <w:sz w:val="36"/>
          <w:szCs w:val="36"/>
        </w:rPr>
        <w:t>que les autres</w:t>
      </w:r>
      <w:r w:rsidRPr="00ED4751">
        <w:rPr>
          <w:rFonts w:asciiTheme="majorBidi" w:hAnsiTheme="majorBidi" w:cstheme="majorBidi"/>
          <w:sz w:val="36"/>
          <w:szCs w:val="36"/>
        </w:rPr>
        <w:t xml:space="preserve">. </w:t>
      </w:r>
    </w:p>
    <w:p w:rsidR="00657AF0" w:rsidRDefault="00657AF0" w:rsidP="00E65FB7">
      <w:pPr>
        <w:pStyle w:val="Default"/>
        <w:rPr>
          <w:rFonts w:asciiTheme="majorBidi" w:hAnsiTheme="majorBidi" w:cstheme="majorBidi"/>
          <w:sz w:val="36"/>
          <w:szCs w:val="36"/>
        </w:rPr>
      </w:pPr>
    </w:p>
    <w:p w:rsidR="00E65FB7" w:rsidRPr="00ED4751" w:rsidRDefault="00E65FB7" w:rsidP="00657AF0">
      <w:pPr>
        <w:pStyle w:val="Default"/>
        <w:ind w:firstLine="708"/>
        <w:jc w:val="both"/>
        <w:rPr>
          <w:rFonts w:asciiTheme="majorBidi" w:hAnsiTheme="majorBidi" w:cstheme="majorBidi"/>
          <w:sz w:val="36"/>
          <w:szCs w:val="36"/>
        </w:rPr>
      </w:pPr>
      <w:r w:rsidRPr="00ED4751">
        <w:rPr>
          <w:rFonts w:asciiTheme="majorBidi" w:hAnsiTheme="majorBidi" w:cstheme="majorBidi"/>
          <w:sz w:val="36"/>
          <w:szCs w:val="36"/>
        </w:rPr>
        <w:t xml:space="preserve">La littératie numérique </w:t>
      </w:r>
      <w:r w:rsidRPr="00657AF0">
        <w:rPr>
          <w:rFonts w:asciiTheme="majorBidi" w:hAnsiTheme="majorBidi" w:cstheme="majorBidi"/>
          <w:b/>
          <w:bCs/>
          <w:sz w:val="36"/>
          <w:szCs w:val="36"/>
        </w:rPr>
        <w:t>implique</w:t>
      </w:r>
      <w:r w:rsidRPr="00ED4751">
        <w:rPr>
          <w:rFonts w:asciiTheme="majorBidi" w:hAnsiTheme="majorBidi" w:cstheme="majorBidi"/>
          <w:sz w:val="36"/>
          <w:szCs w:val="36"/>
        </w:rPr>
        <w:t xml:space="preserve"> l’acquisition </w:t>
      </w:r>
      <w:r w:rsidRPr="00657AF0">
        <w:rPr>
          <w:rFonts w:asciiTheme="majorBidi" w:hAnsiTheme="majorBidi" w:cstheme="majorBidi"/>
          <w:b/>
          <w:bCs/>
          <w:sz w:val="36"/>
          <w:szCs w:val="36"/>
        </w:rPr>
        <w:t>d’« un ensemble de compétences, de consciences et d’attitudes pour utiliser efficacement les TIC dans diverses situations »</w:t>
      </w:r>
      <w:r w:rsidRPr="00ED4751">
        <w:rPr>
          <w:rFonts w:asciiTheme="majorBidi" w:hAnsiTheme="majorBidi" w:cstheme="majorBidi"/>
          <w:sz w:val="36"/>
          <w:szCs w:val="36"/>
        </w:rPr>
        <w:t xml:space="preserve"> : </w:t>
      </w:r>
    </w:p>
    <w:p w:rsidR="00657AF0" w:rsidRDefault="00657AF0" w:rsidP="00E65FB7">
      <w:pPr>
        <w:pStyle w:val="Default"/>
        <w:spacing w:after="33"/>
        <w:rPr>
          <w:rFonts w:asciiTheme="majorBidi" w:hAnsiTheme="majorBidi" w:cstheme="majorBidi"/>
          <w:sz w:val="36"/>
          <w:szCs w:val="36"/>
        </w:rPr>
      </w:pPr>
    </w:p>
    <w:p w:rsidR="00657AF0" w:rsidRDefault="00E65FB7" w:rsidP="00657AF0">
      <w:pPr>
        <w:pStyle w:val="Default"/>
        <w:spacing w:after="33"/>
        <w:jc w:val="both"/>
        <w:rPr>
          <w:rFonts w:asciiTheme="majorBidi" w:hAnsiTheme="majorBidi" w:cstheme="majorBidi"/>
          <w:sz w:val="36"/>
          <w:szCs w:val="36"/>
        </w:rPr>
      </w:pPr>
      <w:r w:rsidRPr="00ED4751">
        <w:rPr>
          <w:rFonts w:asciiTheme="majorBidi" w:hAnsiTheme="majorBidi" w:cstheme="majorBidi"/>
          <w:sz w:val="36"/>
          <w:szCs w:val="36"/>
        </w:rPr>
        <w:t xml:space="preserve">− </w:t>
      </w:r>
      <w:r w:rsidRPr="00657AF0">
        <w:rPr>
          <w:rFonts w:asciiTheme="majorBidi" w:hAnsiTheme="majorBidi" w:cstheme="majorBidi"/>
          <w:color w:val="5B9BD5" w:themeColor="accent1"/>
          <w:sz w:val="36"/>
          <w:szCs w:val="36"/>
        </w:rPr>
        <w:t xml:space="preserve">« Compétence » </w:t>
      </w:r>
      <w:r w:rsidRPr="00ED4751">
        <w:rPr>
          <w:rFonts w:asciiTheme="majorBidi" w:hAnsiTheme="majorBidi" w:cstheme="majorBidi"/>
          <w:sz w:val="36"/>
          <w:szCs w:val="36"/>
        </w:rPr>
        <w:t>se réfère à l’aptitude opérationnelle à mobiliser des savoir-faire essentiels pour utiliser de manière st</w:t>
      </w:r>
      <w:r w:rsidR="00657AF0">
        <w:rPr>
          <w:rFonts w:asciiTheme="majorBidi" w:hAnsiTheme="majorBidi" w:cstheme="majorBidi"/>
          <w:sz w:val="36"/>
          <w:szCs w:val="36"/>
        </w:rPr>
        <w:t>ratégique des outils numériques</w:t>
      </w:r>
      <w:r w:rsidRPr="00ED4751">
        <w:rPr>
          <w:rFonts w:asciiTheme="majorBidi" w:hAnsiTheme="majorBidi" w:cstheme="majorBidi"/>
          <w:sz w:val="36"/>
          <w:szCs w:val="36"/>
        </w:rPr>
        <w:t xml:space="preserve"> ; </w:t>
      </w:r>
    </w:p>
    <w:p w:rsidR="00AE1F7C" w:rsidRDefault="00E65FB7" w:rsidP="00AE1F7C">
      <w:pPr>
        <w:pStyle w:val="Default"/>
        <w:spacing w:after="33"/>
        <w:jc w:val="both"/>
        <w:rPr>
          <w:rFonts w:asciiTheme="majorBidi" w:hAnsiTheme="majorBidi" w:cstheme="majorBidi"/>
          <w:sz w:val="36"/>
          <w:szCs w:val="36"/>
        </w:rPr>
      </w:pPr>
      <w:r w:rsidRPr="00ED4751">
        <w:rPr>
          <w:rFonts w:asciiTheme="majorBidi" w:hAnsiTheme="majorBidi" w:cstheme="majorBidi"/>
          <w:sz w:val="36"/>
          <w:szCs w:val="36"/>
        </w:rPr>
        <w:t xml:space="preserve">− </w:t>
      </w:r>
      <w:r w:rsidRPr="00AE1F7C">
        <w:rPr>
          <w:rFonts w:asciiTheme="majorBidi" w:hAnsiTheme="majorBidi" w:cstheme="majorBidi"/>
          <w:color w:val="5B9BD5" w:themeColor="accent1"/>
          <w:sz w:val="36"/>
          <w:szCs w:val="36"/>
        </w:rPr>
        <w:t xml:space="preserve">« Conscience » </w:t>
      </w:r>
      <w:r w:rsidRPr="00ED4751">
        <w:rPr>
          <w:rFonts w:asciiTheme="majorBidi" w:hAnsiTheme="majorBidi" w:cstheme="majorBidi"/>
          <w:sz w:val="36"/>
          <w:szCs w:val="36"/>
        </w:rPr>
        <w:t xml:space="preserve">renvoie à la dimension </w:t>
      </w:r>
      <w:r w:rsidRPr="00826156">
        <w:rPr>
          <w:rFonts w:asciiTheme="majorBidi" w:hAnsiTheme="majorBidi" w:cstheme="majorBidi"/>
          <w:b/>
          <w:bCs/>
          <w:sz w:val="36"/>
          <w:szCs w:val="36"/>
        </w:rPr>
        <w:t>critique</w:t>
      </w:r>
      <w:r w:rsidRPr="00ED4751">
        <w:rPr>
          <w:rFonts w:asciiTheme="majorBidi" w:hAnsiTheme="majorBidi" w:cstheme="majorBidi"/>
          <w:sz w:val="36"/>
          <w:szCs w:val="36"/>
        </w:rPr>
        <w:t xml:space="preserve"> et </w:t>
      </w:r>
      <w:r w:rsidRPr="00826156">
        <w:rPr>
          <w:rFonts w:asciiTheme="majorBidi" w:hAnsiTheme="majorBidi" w:cstheme="majorBidi"/>
          <w:b/>
          <w:bCs/>
          <w:sz w:val="36"/>
          <w:szCs w:val="36"/>
        </w:rPr>
        <w:t>éthique</w:t>
      </w:r>
      <w:r w:rsidRPr="00ED4751">
        <w:rPr>
          <w:rFonts w:asciiTheme="majorBidi" w:hAnsiTheme="majorBidi" w:cstheme="majorBidi"/>
          <w:sz w:val="36"/>
          <w:szCs w:val="36"/>
        </w:rPr>
        <w:t xml:space="preserve"> impliquant une réflexion sur « le comportement approprié lié à une situation et à un environneme</w:t>
      </w:r>
      <w:r w:rsidR="00AE1F7C">
        <w:rPr>
          <w:rFonts w:asciiTheme="majorBidi" w:hAnsiTheme="majorBidi" w:cstheme="majorBidi"/>
          <w:sz w:val="36"/>
          <w:szCs w:val="36"/>
        </w:rPr>
        <w:t xml:space="preserve">nt numérique spécifiques » </w:t>
      </w:r>
      <w:r w:rsidRPr="00ED4751">
        <w:rPr>
          <w:rFonts w:asciiTheme="majorBidi" w:hAnsiTheme="majorBidi" w:cstheme="majorBidi"/>
          <w:sz w:val="36"/>
          <w:szCs w:val="36"/>
        </w:rPr>
        <w:t>;</w:t>
      </w:r>
    </w:p>
    <w:p w:rsidR="00E65FB7" w:rsidRPr="00ED4751" w:rsidRDefault="00E65FB7" w:rsidP="00AE1F7C">
      <w:pPr>
        <w:pStyle w:val="Default"/>
        <w:spacing w:after="33"/>
        <w:jc w:val="both"/>
        <w:rPr>
          <w:rFonts w:asciiTheme="majorBidi" w:hAnsiTheme="majorBidi" w:cstheme="majorBidi"/>
          <w:sz w:val="36"/>
          <w:szCs w:val="36"/>
        </w:rPr>
      </w:pPr>
      <w:r w:rsidRPr="00ED4751">
        <w:rPr>
          <w:rFonts w:asciiTheme="majorBidi" w:hAnsiTheme="majorBidi" w:cstheme="majorBidi"/>
          <w:sz w:val="36"/>
          <w:szCs w:val="36"/>
        </w:rPr>
        <w:t xml:space="preserve">− </w:t>
      </w:r>
      <w:r w:rsidRPr="00AE1F7C">
        <w:rPr>
          <w:rFonts w:asciiTheme="majorBidi" w:hAnsiTheme="majorBidi" w:cstheme="majorBidi"/>
          <w:color w:val="5B9BD5" w:themeColor="accent1"/>
          <w:sz w:val="36"/>
          <w:szCs w:val="36"/>
        </w:rPr>
        <w:t xml:space="preserve">« Attitude » </w:t>
      </w:r>
      <w:r w:rsidRPr="00ED4751">
        <w:rPr>
          <w:rFonts w:asciiTheme="majorBidi" w:hAnsiTheme="majorBidi" w:cstheme="majorBidi"/>
          <w:sz w:val="36"/>
          <w:szCs w:val="36"/>
        </w:rPr>
        <w:t>porte sur l’intérêt à s’engager dans des communautés et des réseaux sociaux à des fins culturelles, soc</w:t>
      </w:r>
      <w:r w:rsidR="00AE1F7C">
        <w:rPr>
          <w:rFonts w:asciiTheme="majorBidi" w:hAnsiTheme="majorBidi" w:cstheme="majorBidi"/>
          <w:sz w:val="36"/>
          <w:szCs w:val="36"/>
        </w:rPr>
        <w:t>iales et/ou professionnelles</w:t>
      </w:r>
      <w:r w:rsidRPr="00ED4751">
        <w:rPr>
          <w:rFonts w:asciiTheme="majorBidi" w:hAnsiTheme="majorBidi" w:cstheme="majorBidi"/>
          <w:sz w:val="36"/>
          <w:szCs w:val="36"/>
        </w:rPr>
        <w:t xml:space="preserve">. </w:t>
      </w:r>
    </w:p>
    <w:p w:rsidR="001A29B3" w:rsidRPr="00ED4751" w:rsidRDefault="001A29B3">
      <w:pPr>
        <w:rPr>
          <w:rFonts w:asciiTheme="majorBidi" w:hAnsiTheme="majorBidi" w:cstheme="majorBidi"/>
          <w:sz w:val="40"/>
          <w:szCs w:val="40"/>
        </w:rPr>
      </w:pPr>
    </w:p>
    <w:p w:rsidR="00E65FB7" w:rsidRPr="00ED4751" w:rsidRDefault="00E65FB7">
      <w:pPr>
        <w:rPr>
          <w:rFonts w:asciiTheme="majorBidi" w:hAnsiTheme="majorBidi" w:cstheme="majorBidi"/>
          <w:sz w:val="40"/>
          <w:szCs w:val="40"/>
        </w:rPr>
      </w:pPr>
      <w:r w:rsidRPr="00ED4751">
        <w:rPr>
          <w:rFonts w:asciiTheme="majorBidi" w:hAnsiTheme="majorBidi" w:cstheme="majorBidi"/>
          <w:noProof/>
          <w:sz w:val="40"/>
          <w:szCs w:val="40"/>
          <w:lang w:eastAsia="fr-FR"/>
        </w:rPr>
        <w:lastRenderedPageBreak/>
        <w:drawing>
          <wp:inline distT="0" distB="0" distL="0" distR="0" wp14:anchorId="0478FA21" wp14:editId="302068EE">
            <wp:extent cx="5903595" cy="331914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03595" cy="3319145"/>
                    </a:xfrm>
                    <a:prstGeom prst="rect">
                      <a:avLst/>
                    </a:prstGeom>
                  </pic:spPr>
                </pic:pic>
              </a:graphicData>
            </a:graphic>
          </wp:inline>
        </w:drawing>
      </w:r>
    </w:p>
    <w:p w:rsidR="00E65FB7" w:rsidRPr="00ED4751" w:rsidRDefault="00E65FB7">
      <w:pPr>
        <w:rPr>
          <w:rFonts w:asciiTheme="majorBidi" w:hAnsiTheme="majorBidi" w:cstheme="majorBidi"/>
          <w:sz w:val="40"/>
          <w:szCs w:val="40"/>
        </w:rPr>
      </w:pPr>
    </w:p>
    <w:p w:rsidR="00E65FB7" w:rsidRDefault="00E65FB7" w:rsidP="00904034">
      <w:pPr>
        <w:ind w:firstLine="708"/>
        <w:jc w:val="both"/>
        <w:rPr>
          <w:rFonts w:asciiTheme="majorBidi" w:hAnsiTheme="majorBidi" w:cstheme="majorBidi"/>
          <w:sz w:val="36"/>
          <w:szCs w:val="36"/>
        </w:rPr>
      </w:pPr>
      <w:r w:rsidRPr="00ED4751">
        <w:rPr>
          <w:rFonts w:asciiTheme="majorBidi" w:hAnsiTheme="majorBidi" w:cstheme="majorBidi"/>
          <w:sz w:val="36"/>
          <w:szCs w:val="36"/>
        </w:rPr>
        <w:t xml:space="preserve">Dans le domaine de l’enseignement-apprentissage des langues, l’acquisition de la littératie numérique </w:t>
      </w:r>
      <w:r w:rsidRPr="00E01D8F">
        <w:rPr>
          <w:rFonts w:asciiTheme="majorBidi" w:hAnsiTheme="majorBidi" w:cstheme="majorBidi"/>
          <w:b/>
          <w:bCs/>
          <w:color w:val="5B9BD5" w:themeColor="accent1"/>
          <w:sz w:val="36"/>
          <w:szCs w:val="36"/>
        </w:rPr>
        <w:t>aide</w:t>
      </w:r>
      <w:r w:rsidRPr="00ED4751">
        <w:rPr>
          <w:rFonts w:asciiTheme="majorBidi" w:hAnsiTheme="majorBidi" w:cstheme="majorBidi"/>
          <w:sz w:val="36"/>
          <w:szCs w:val="36"/>
        </w:rPr>
        <w:t xml:space="preserve"> les apprenants </w:t>
      </w:r>
      <w:r w:rsidRPr="00AE1F7C">
        <w:rPr>
          <w:rFonts w:asciiTheme="majorBidi" w:hAnsiTheme="majorBidi" w:cstheme="majorBidi"/>
          <w:b/>
          <w:bCs/>
          <w:sz w:val="36"/>
          <w:szCs w:val="36"/>
        </w:rPr>
        <w:t>« à construire des environnements personnels d’apprentissage multi-supports et à devenir des usagers des langues autonomes et compétents »</w:t>
      </w:r>
      <w:r w:rsidRPr="00ED4751">
        <w:rPr>
          <w:rFonts w:asciiTheme="majorBidi" w:hAnsiTheme="majorBidi" w:cstheme="majorBidi"/>
          <w:sz w:val="36"/>
          <w:szCs w:val="36"/>
        </w:rPr>
        <w:t>. En effet, les apprenants ayant acquis une littératie numérique sont censés être capables de mobiliser de manière efficace les ressources numériques pour mettre à profit l’opportunité d’apprentissage des langues.</w:t>
      </w:r>
    </w:p>
    <w:p w:rsidR="00306E25" w:rsidRDefault="00306E25" w:rsidP="00904034">
      <w:pPr>
        <w:ind w:firstLine="708"/>
        <w:jc w:val="both"/>
        <w:rPr>
          <w:rFonts w:asciiTheme="majorBidi" w:hAnsiTheme="majorBidi" w:cstheme="majorBidi"/>
          <w:sz w:val="36"/>
          <w:szCs w:val="36"/>
        </w:rPr>
      </w:pPr>
    </w:p>
    <w:p w:rsidR="005A396C" w:rsidRPr="005A396C" w:rsidRDefault="00306E25" w:rsidP="005A396C">
      <w:pPr>
        <w:pStyle w:val="Default"/>
        <w:rPr>
          <w:rFonts w:ascii="LMRoman10-Regular" w:hAnsi="LMRoman10-Regular" w:cs="LMRoman10-Regular"/>
        </w:rPr>
      </w:pPr>
      <w:r>
        <w:rPr>
          <w:rFonts w:asciiTheme="majorBidi" w:hAnsiTheme="majorBidi" w:cstheme="majorBidi"/>
          <w:sz w:val="36"/>
          <w:szCs w:val="36"/>
        </w:rPr>
        <w:t xml:space="preserve">Source : </w:t>
      </w:r>
    </w:p>
    <w:p w:rsidR="00306E25" w:rsidRDefault="005A396C" w:rsidP="005A396C">
      <w:pPr>
        <w:ind w:firstLine="708"/>
        <w:jc w:val="both"/>
        <w:rPr>
          <w:rFonts w:asciiTheme="majorBidi" w:hAnsiTheme="majorBidi" w:cstheme="majorBidi"/>
          <w:sz w:val="36"/>
          <w:szCs w:val="36"/>
        </w:rPr>
      </w:pPr>
      <w:proofErr w:type="spellStart"/>
      <w:r w:rsidRPr="005A396C">
        <w:rPr>
          <w:rFonts w:ascii="LMRoman10-Regular" w:hAnsi="LMRoman10-Regular" w:cs="LMRoman10-Regular"/>
          <w:color w:val="000000"/>
          <w:sz w:val="21"/>
          <w:szCs w:val="21"/>
        </w:rPr>
        <w:t>Yigong</w:t>
      </w:r>
      <w:proofErr w:type="spellEnd"/>
      <w:r w:rsidRPr="005A396C">
        <w:rPr>
          <w:rFonts w:ascii="LMRoman10-Regular" w:hAnsi="LMRoman10-Regular" w:cs="LMRoman10-Regular"/>
          <w:color w:val="000000"/>
          <w:sz w:val="21"/>
          <w:szCs w:val="21"/>
        </w:rPr>
        <w:t xml:space="preserve"> Guo. Enquête sur la littératie numérique des étudiants chinois pour l’apprentissage du français. Colloque Jeunes Chercheurs </w:t>
      </w:r>
      <w:proofErr w:type="spellStart"/>
      <w:r w:rsidRPr="005A396C">
        <w:rPr>
          <w:rFonts w:ascii="LMRoman10-Regular" w:hAnsi="LMRoman10-Regular" w:cs="LMRoman10-Regular"/>
          <w:color w:val="000000"/>
          <w:sz w:val="21"/>
          <w:szCs w:val="21"/>
        </w:rPr>
        <w:t>Praxiling</w:t>
      </w:r>
      <w:proofErr w:type="spellEnd"/>
      <w:r w:rsidRPr="005A396C">
        <w:rPr>
          <w:rFonts w:ascii="LMRoman10-Regular" w:hAnsi="LMRoman10-Regular" w:cs="LMRoman10-Regular"/>
          <w:color w:val="000000"/>
          <w:sz w:val="21"/>
          <w:szCs w:val="21"/>
        </w:rPr>
        <w:t xml:space="preserve"> 2019, </w:t>
      </w:r>
      <w:proofErr w:type="spellStart"/>
      <w:r w:rsidRPr="005A396C">
        <w:rPr>
          <w:rFonts w:ascii="LMRoman10-Regular" w:hAnsi="LMRoman10-Regular" w:cs="LMRoman10-Regular"/>
          <w:color w:val="000000"/>
          <w:sz w:val="21"/>
          <w:szCs w:val="21"/>
        </w:rPr>
        <w:t>Nov</w:t>
      </w:r>
      <w:proofErr w:type="spellEnd"/>
      <w:r w:rsidRPr="005A396C">
        <w:rPr>
          <w:rFonts w:ascii="LMRoman10-Regular" w:hAnsi="LMRoman10-Regular" w:cs="LMRoman10-Regular"/>
          <w:color w:val="000000"/>
          <w:sz w:val="21"/>
          <w:szCs w:val="21"/>
        </w:rPr>
        <w:t xml:space="preserve"> 2019, Montpellier, France. pp.282-291, ‌10.18463/toubol.001‌. ‌hal-024</w:t>
      </w:r>
      <w:bookmarkStart w:id="0" w:name="_GoBack"/>
      <w:bookmarkEnd w:id="0"/>
      <w:r w:rsidRPr="005A396C">
        <w:rPr>
          <w:rFonts w:ascii="LMRoman10-Regular" w:hAnsi="LMRoman10-Regular" w:cs="LMRoman10-Regular"/>
          <w:color w:val="000000"/>
          <w:sz w:val="21"/>
          <w:szCs w:val="21"/>
        </w:rPr>
        <w:t>2514</w:t>
      </w:r>
    </w:p>
    <w:p w:rsidR="00306E25" w:rsidRDefault="00306E25" w:rsidP="00904034">
      <w:pPr>
        <w:ind w:firstLine="708"/>
        <w:jc w:val="both"/>
        <w:rPr>
          <w:rFonts w:asciiTheme="majorBidi" w:hAnsiTheme="majorBidi" w:cstheme="majorBidi"/>
          <w:sz w:val="36"/>
          <w:szCs w:val="36"/>
        </w:rPr>
      </w:pPr>
    </w:p>
    <w:p w:rsidR="00306E25" w:rsidRDefault="00306E25" w:rsidP="00904034">
      <w:pPr>
        <w:ind w:firstLine="708"/>
        <w:jc w:val="both"/>
        <w:rPr>
          <w:rFonts w:asciiTheme="majorBidi" w:hAnsiTheme="majorBidi" w:cstheme="majorBidi"/>
          <w:sz w:val="36"/>
          <w:szCs w:val="36"/>
        </w:rPr>
      </w:pPr>
    </w:p>
    <w:p w:rsidR="00306E25" w:rsidRDefault="00306E25" w:rsidP="00904034">
      <w:pPr>
        <w:ind w:firstLine="708"/>
        <w:jc w:val="both"/>
        <w:rPr>
          <w:rFonts w:asciiTheme="majorBidi" w:hAnsiTheme="majorBidi" w:cstheme="majorBidi"/>
          <w:sz w:val="36"/>
          <w:szCs w:val="36"/>
        </w:rPr>
      </w:pPr>
    </w:p>
    <w:p w:rsidR="00306E25" w:rsidRDefault="00306E25" w:rsidP="00904034">
      <w:pPr>
        <w:ind w:firstLine="708"/>
        <w:jc w:val="both"/>
        <w:rPr>
          <w:rFonts w:asciiTheme="majorBidi" w:hAnsiTheme="majorBidi" w:cstheme="majorBidi"/>
          <w:sz w:val="36"/>
          <w:szCs w:val="36"/>
        </w:rPr>
      </w:pPr>
    </w:p>
    <w:p w:rsidR="00306E25" w:rsidRDefault="00306E25" w:rsidP="00904034">
      <w:pPr>
        <w:ind w:firstLine="708"/>
        <w:jc w:val="both"/>
        <w:rPr>
          <w:rFonts w:asciiTheme="majorBidi" w:hAnsiTheme="majorBidi" w:cstheme="majorBidi"/>
          <w:sz w:val="36"/>
          <w:szCs w:val="36"/>
        </w:rPr>
      </w:pPr>
    </w:p>
    <w:p w:rsidR="00306E25" w:rsidRDefault="00306E25" w:rsidP="00AE1F7C">
      <w:pPr>
        <w:ind w:firstLine="708"/>
        <w:jc w:val="both"/>
        <w:rPr>
          <w:rFonts w:asciiTheme="majorBidi" w:hAnsiTheme="majorBidi" w:cstheme="majorBidi"/>
          <w:sz w:val="36"/>
          <w:szCs w:val="36"/>
        </w:rPr>
      </w:pPr>
    </w:p>
    <w:p w:rsidR="00B20838" w:rsidRDefault="00B20838" w:rsidP="00AE1F7C">
      <w:pPr>
        <w:ind w:firstLine="708"/>
        <w:jc w:val="both"/>
        <w:rPr>
          <w:rFonts w:asciiTheme="majorBidi" w:hAnsiTheme="majorBidi" w:cstheme="majorBidi"/>
          <w:sz w:val="36"/>
          <w:szCs w:val="36"/>
        </w:rPr>
      </w:pPr>
    </w:p>
    <w:p w:rsidR="00B20838" w:rsidRDefault="00B20838" w:rsidP="00AE1F7C">
      <w:pPr>
        <w:ind w:firstLine="708"/>
        <w:jc w:val="both"/>
        <w:rPr>
          <w:rFonts w:asciiTheme="majorBidi" w:hAnsiTheme="majorBidi" w:cstheme="majorBidi"/>
          <w:sz w:val="36"/>
          <w:szCs w:val="36"/>
        </w:rPr>
      </w:pPr>
    </w:p>
    <w:p w:rsidR="00B20838" w:rsidRDefault="00B20838" w:rsidP="00B20838">
      <w:pPr>
        <w:pStyle w:val="Default"/>
        <w:numPr>
          <w:ilvl w:val="0"/>
          <w:numId w:val="1"/>
        </w:numPr>
        <w:rPr>
          <w:rFonts w:asciiTheme="majorBidi" w:hAnsiTheme="majorBidi" w:cstheme="majorBidi"/>
          <w:b/>
          <w:bCs/>
          <w:color w:val="00B0F0"/>
          <w:sz w:val="52"/>
          <w:szCs w:val="52"/>
        </w:rPr>
      </w:pPr>
    </w:p>
    <w:p w:rsidR="00B20838" w:rsidRDefault="00B20838" w:rsidP="00AE1F7C">
      <w:pPr>
        <w:ind w:firstLine="708"/>
        <w:jc w:val="both"/>
        <w:rPr>
          <w:rFonts w:asciiTheme="majorBidi" w:hAnsiTheme="majorBidi" w:cstheme="majorBidi"/>
          <w:sz w:val="36"/>
          <w:szCs w:val="36"/>
        </w:rPr>
      </w:pPr>
    </w:p>
    <w:p w:rsidR="000E5D3B" w:rsidRDefault="000E5D3B" w:rsidP="000E5D3B">
      <w:pPr>
        <w:shd w:val="clear" w:color="auto" w:fill="FFFFFF"/>
        <w:spacing w:before="45" w:after="0" w:line="288" w:lineRule="atLeast"/>
        <w:jc w:val="center"/>
        <w:textAlignment w:val="baseline"/>
        <w:outlineLvl w:val="0"/>
        <w:rPr>
          <w:rFonts w:ascii="Arial" w:eastAsia="Times New Roman" w:hAnsi="Arial" w:cs="Arial"/>
          <w:color w:val="333333"/>
          <w:sz w:val="26"/>
          <w:szCs w:val="26"/>
          <w:lang w:eastAsia="fr-FR"/>
        </w:rPr>
      </w:pPr>
      <w:r>
        <w:rPr>
          <w:noProof/>
          <w:lang w:eastAsia="fr-FR"/>
        </w:rPr>
        <w:drawing>
          <wp:inline distT="0" distB="0" distL="0" distR="0">
            <wp:extent cx="3889375" cy="948690"/>
            <wp:effectExtent l="0" t="0" r="0" b="3810"/>
            <wp:docPr id="2" name="Image 2" descr="https://www.ecml.at/Portals/1/images/logos/elang-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ml.at/Portals/1/images/logos/elang-logo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9375" cy="948690"/>
                    </a:xfrm>
                    <a:prstGeom prst="rect">
                      <a:avLst/>
                    </a:prstGeom>
                    <a:noFill/>
                    <a:ln>
                      <a:noFill/>
                    </a:ln>
                  </pic:spPr>
                </pic:pic>
              </a:graphicData>
            </a:graphic>
          </wp:inline>
        </w:drawing>
      </w:r>
    </w:p>
    <w:p w:rsidR="000E5D3B" w:rsidRDefault="000E5D3B" w:rsidP="000E5D3B">
      <w:pPr>
        <w:shd w:val="clear" w:color="auto" w:fill="FFFFFF"/>
        <w:spacing w:before="45" w:after="0" w:line="288" w:lineRule="atLeast"/>
        <w:jc w:val="center"/>
        <w:textAlignment w:val="baseline"/>
        <w:outlineLvl w:val="0"/>
        <w:rPr>
          <w:rFonts w:ascii="Arial" w:eastAsia="Times New Roman" w:hAnsi="Arial" w:cs="Arial"/>
          <w:b/>
          <w:bCs/>
          <w:color w:val="444444"/>
          <w:spacing w:val="-15"/>
          <w:kern w:val="36"/>
          <w:sz w:val="59"/>
          <w:szCs w:val="59"/>
          <w:lang w:eastAsia="fr-FR"/>
        </w:rPr>
      </w:pPr>
      <w:proofErr w:type="spellStart"/>
      <w:r w:rsidRPr="000E5D3B">
        <w:rPr>
          <w:rFonts w:ascii="Arial" w:eastAsia="Times New Roman" w:hAnsi="Arial" w:cs="Arial"/>
          <w:color w:val="333333"/>
          <w:sz w:val="26"/>
          <w:szCs w:val="26"/>
          <w:lang w:eastAsia="fr-FR"/>
        </w:rPr>
        <w:t>E-lang</w:t>
      </w:r>
      <w:proofErr w:type="spellEnd"/>
    </w:p>
    <w:p w:rsidR="000E5D3B" w:rsidRPr="000E5D3B" w:rsidRDefault="000E5D3B" w:rsidP="000E5D3B">
      <w:pPr>
        <w:shd w:val="clear" w:color="auto" w:fill="FFFFFF"/>
        <w:spacing w:before="45" w:after="0" w:line="288" w:lineRule="atLeast"/>
        <w:jc w:val="center"/>
        <w:textAlignment w:val="baseline"/>
        <w:outlineLvl w:val="0"/>
        <w:rPr>
          <w:rFonts w:ascii="Arial" w:eastAsia="Times New Roman" w:hAnsi="Arial" w:cs="Arial"/>
          <w:b/>
          <w:bCs/>
          <w:color w:val="444444"/>
          <w:spacing w:val="-15"/>
          <w:kern w:val="36"/>
          <w:sz w:val="59"/>
          <w:szCs w:val="59"/>
          <w:lang w:eastAsia="fr-FR"/>
        </w:rPr>
      </w:pPr>
      <w:r w:rsidRPr="000E5D3B">
        <w:rPr>
          <w:rFonts w:ascii="Arial" w:eastAsia="Times New Roman" w:hAnsi="Arial" w:cs="Arial"/>
          <w:b/>
          <w:bCs/>
          <w:color w:val="444444"/>
          <w:spacing w:val="-15"/>
          <w:kern w:val="36"/>
          <w:sz w:val="59"/>
          <w:szCs w:val="59"/>
          <w:lang w:eastAsia="fr-FR"/>
        </w:rPr>
        <w:t>Vers une littératie numérique pour l'enseignement et l’apprentissage des langues</w:t>
      </w:r>
    </w:p>
    <w:p w:rsidR="00B20838" w:rsidRDefault="00B20838" w:rsidP="00302E9E">
      <w:p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r>
        <w:rPr>
          <w:rFonts w:ascii="Arial" w:eastAsia="Times New Roman" w:hAnsi="Arial" w:cs="Arial"/>
          <w:color w:val="333333"/>
          <w:sz w:val="26"/>
          <w:szCs w:val="26"/>
          <w:lang w:eastAsia="fr-FR"/>
        </w:rPr>
        <w:t>Consultez le site suivant :</w:t>
      </w:r>
    </w:p>
    <w:p w:rsidR="00302E9E" w:rsidRDefault="004B7456" w:rsidP="00302E9E">
      <w:p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hyperlink r:id="rId7" w:history="1">
        <w:r w:rsidR="00B20838" w:rsidRPr="0041637C">
          <w:rPr>
            <w:rStyle w:val="Lienhypertexte"/>
            <w:rFonts w:ascii="Arial" w:eastAsia="Times New Roman" w:hAnsi="Arial" w:cs="Arial"/>
            <w:sz w:val="26"/>
            <w:szCs w:val="26"/>
            <w:lang w:eastAsia="fr-FR"/>
          </w:rPr>
          <w:t>https://www.ecml.at/fr/ECML-Programme/Programme-2016-2019/Digital-literacy</w:t>
        </w:r>
      </w:hyperlink>
    </w:p>
    <w:p w:rsidR="00B20838" w:rsidRDefault="00B20838" w:rsidP="00302E9E">
      <w:p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p>
    <w:p w:rsidR="00B20838" w:rsidRDefault="001E2CDF" w:rsidP="001E2CDF">
      <w:pPr>
        <w:pStyle w:val="Paragraphedeliste"/>
        <w:numPr>
          <w:ilvl w:val="0"/>
          <w:numId w:val="2"/>
        </w:num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r>
        <w:rPr>
          <w:rFonts w:ascii="Arial" w:eastAsia="Times New Roman" w:hAnsi="Arial" w:cs="Arial"/>
          <w:color w:val="333333"/>
          <w:sz w:val="26"/>
          <w:szCs w:val="26"/>
          <w:lang w:eastAsia="fr-FR"/>
        </w:rPr>
        <w:t>Approche socio-interactionnelle :</w:t>
      </w:r>
    </w:p>
    <w:p w:rsidR="001E2CDF" w:rsidRDefault="001E2CDF" w:rsidP="001E2CDF">
      <w:pPr>
        <w:pStyle w:val="NormalWeb"/>
        <w:shd w:val="clear" w:color="auto" w:fill="FFFFFF"/>
        <w:spacing w:before="0" w:beforeAutospacing="0" w:after="0" w:afterAutospacing="0" w:line="384" w:lineRule="atLeast"/>
        <w:ind w:firstLine="708"/>
        <w:jc w:val="both"/>
        <w:textAlignment w:val="baseline"/>
        <w:rPr>
          <w:rFonts w:ascii="Arial" w:hAnsi="Arial" w:cs="Arial"/>
          <w:color w:val="000000"/>
          <w:sz w:val="21"/>
          <w:szCs w:val="21"/>
        </w:rPr>
      </w:pPr>
      <w:r>
        <w:rPr>
          <w:rFonts w:ascii="Arial" w:hAnsi="Arial" w:cs="Arial"/>
          <w:color w:val="000000"/>
          <w:sz w:val="21"/>
          <w:szCs w:val="21"/>
        </w:rPr>
        <w:t>L’approche socio-interactionnelle entend placer les interactions sociales au centre de sa définition des tâches. L’objectif est de permettre aux apprenants d’apprendre à prendre en compte ces interactions sociales quand ils agissent et interagissent en langue cible. Ils pourront ainsi prendre conscience du caractère déterminant de ces interactions et développer une compétence de communication forte. C’est, pensons-nous, en réalisant des tâches au sein d’interactions sociales variées (tout spécialement des tâches ancrées dans la vie réelle) que l’apprenant pourra développer une véritable compétence de communication.</w:t>
      </w:r>
    </w:p>
    <w:p w:rsidR="001E2CDF" w:rsidRPr="001E2CDF" w:rsidRDefault="001E2CDF" w:rsidP="001E2CDF">
      <w:pPr>
        <w:shd w:val="clear" w:color="auto" w:fill="FFFFFF"/>
        <w:spacing w:before="240" w:after="240" w:line="332" w:lineRule="atLeast"/>
        <w:ind w:left="360"/>
        <w:textAlignment w:val="baseline"/>
        <w:outlineLvl w:val="4"/>
        <w:rPr>
          <w:rFonts w:ascii="Arial" w:eastAsia="Times New Roman" w:hAnsi="Arial" w:cs="Arial"/>
          <w:color w:val="333333"/>
          <w:sz w:val="26"/>
          <w:szCs w:val="26"/>
          <w:lang w:eastAsia="fr-FR"/>
        </w:rPr>
      </w:pPr>
    </w:p>
    <w:p w:rsidR="001E2CDF" w:rsidRDefault="001E2CDF" w:rsidP="001E2CDF">
      <w:pPr>
        <w:pStyle w:val="Paragraphedeliste"/>
        <w:numPr>
          <w:ilvl w:val="0"/>
          <w:numId w:val="2"/>
        </w:num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r>
        <w:rPr>
          <w:rFonts w:ascii="Arial" w:eastAsia="Times New Roman" w:hAnsi="Arial" w:cs="Arial"/>
          <w:color w:val="333333"/>
          <w:sz w:val="26"/>
          <w:szCs w:val="26"/>
          <w:lang w:eastAsia="fr-FR"/>
        </w:rPr>
        <w:t>Double ancrage de la tâche</w:t>
      </w:r>
    </w:p>
    <w:p w:rsidR="001E2CDF" w:rsidRDefault="001E2CDF" w:rsidP="001E2CDF">
      <w:pPr>
        <w:pStyle w:val="NormalWeb"/>
        <w:shd w:val="clear" w:color="auto" w:fill="FFFFFF"/>
        <w:spacing w:before="0" w:beforeAutospacing="0" w:after="0" w:afterAutospacing="0" w:line="384" w:lineRule="atLeast"/>
        <w:ind w:firstLine="708"/>
        <w:jc w:val="both"/>
        <w:textAlignment w:val="baseline"/>
        <w:rPr>
          <w:rFonts w:ascii="Arial" w:hAnsi="Arial" w:cs="Arial"/>
          <w:color w:val="000000"/>
          <w:sz w:val="21"/>
          <w:szCs w:val="21"/>
        </w:rPr>
      </w:pPr>
      <w:r>
        <w:rPr>
          <w:rFonts w:ascii="Arial" w:hAnsi="Arial" w:cs="Arial"/>
          <w:color w:val="000000"/>
          <w:sz w:val="21"/>
          <w:szCs w:val="21"/>
        </w:rPr>
        <w:t>Les tâches ancrées dans la vie réelle sont caractérisées par un double ancrage : dans la « vie réelle » et dans le monde éducatif. En réalisant une telle tâche, le sujet est, à la fois, un apprenant dans une situation d’enseignement-apprentissage et un usager qui utilise la langue pour (inter)agir en dehors du monde éducatif.</w:t>
      </w:r>
    </w:p>
    <w:p w:rsidR="001E2CDF" w:rsidRPr="001E2CDF" w:rsidRDefault="001E2CDF" w:rsidP="001E2CDF">
      <w:p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p>
    <w:p w:rsidR="001E2CDF" w:rsidRDefault="00BA3855" w:rsidP="001E2CDF">
      <w:pPr>
        <w:pStyle w:val="Paragraphedeliste"/>
        <w:numPr>
          <w:ilvl w:val="0"/>
          <w:numId w:val="2"/>
        </w:num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r>
        <w:rPr>
          <w:rFonts w:ascii="Arial" w:eastAsia="Times New Roman" w:hAnsi="Arial" w:cs="Arial"/>
          <w:color w:val="333333"/>
          <w:sz w:val="26"/>
          <w:szCs w:val="26"/>
          <w:lang w:eastAsia="fr-FR"/>
        </w:rPr>
        <w:t>Tâche ancrée dans la vie réelle</w:t>
      </w:r>
    </w:p>
    <w:p w:rsidR="00BA3855" w:rsidRDefault="00BA3855" w:rsidP="00BA3855">
      <w:pPr>
        <w:pStyle w:val="NormalWeb"/>
        <w:shd w:val="clear" w:color="auto" w:fill="FFFFFF"/>
        <w:spacing w:before="0" w:beforeAutospacing="0" w:after="0" w:afterAutospacing="0" w:line="384" w:lineRule="atLeast"/>
        <w:ind w:firstLine="708"/>
        <w:jc w:val="both"/>
        <w:textAlignment w:val="baseline"/>
        <w:rPr>
          <w:rFonts w:ascii="Arial" w:hAnsi="Arial" w:cs="Arial"/>
          <w:color w:val="000000"/>
          <w:sz w:val="21"/>
          <w:szCs w:val="21"/>
        </w:rPr>
      </w:pPr>
      <w:r>
        <w:rPr>
          <w:rFonts w:ascii="Arial" w:hAnsi="Arial" w:cs="Arial"/>
          <w:color w:val="000000"/>
          <w:sz w:val="21"/>
          <w:szCs w:val="21"/>
        </w:rPr>
        <w:lastRenderedPageBreak/>
        <w:t>Tâche réalisée au sein d’interactions sociales dépassant le cadre du groupe-classe et le monde éducatif en général, spécialement sur des sites participatifs en ligne.</w:t>
      </w:r>
    </w:p>
    <w:p w:rsidR="00BA3855" w:rsidRPr="00BA3855" w:rsidRDefault="00BA3855" w:rsidP="00BA3855">
      <w:p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p>
    <w:p w:rsidR="005A396C" w:rsidRDefault="005A396C" w:rsidP="001E2CDF">
      <w:pPr>
        <w:pStyle w:val="Paragraphedeliste"/>
        <w:numPr>
          <w:ilvl w:val="0"/>
          <w:numId w:val="2"/>
        </w:num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r>
        <w:rPr>
          <w:rFonts w:ascii="Arial" w:eastAsia="Times New Roman" w:hAnsi="Arial" w:cs="Arial"/>
          <w:color w:val="333333"/>
          <w:sz w:val="26"/>
          <w:szCs w:val="26"/>
          <w:lang w:eastAsia="fr-FR"/>
        </w:rPr>
        <w:t xml:space="preserve">Environnement personnel d’apprentissage </w:t>
      </w:r>
    </w:p>
    <w:p w:rsidR="005A396C" w:rsidRPr="005A396C" w:rsidRDefault="005A396C" w:rsidP="005A396C">
      <w:pPr>
        <w:shd w:val="clear" w:color="auto" w:fill="FFFFFF"/>
        <w:spacing w:after="0" w:line="384" w:lineRule="atLeast"/>
        <w:textAlignment w:val="baseline"/>
        <w:rPr>
          <w:rFonts w:ascii="Arial" w:eastAsia="Times New Roman" w:hAnsi="Arial" w:cs="Arial"/>
          <w:color w:val="000000"/>
          <w:sz w:val="21"/>
          <w:szCs w:val="21"/>
          <w:lang w:eastAsia="fr-FR"/>
        </w:rPr>
      </w:pPr>
      <w:r w:rsidRPr="005A396C">
        <w:rPr>
          <w:rFonts w:ascii="Arial" w:eastAsia="Times New Roman" w:hAnsi="Arial" w:cs="Arial"/>
          <w:color w:val="000000"/>
          <w:sz w:val="21"/>
          <w:szCs w:val="21"/>
          <w:lang w:eastAsia="fr-FR"/>
        </w:rPr>
        <w:t>Ensemble d’outils et de ressources que l’apprenant se constitue pour faciliter son apprentissage.</w:t>
      </w:r>
    </w:p>
    <w:p w:rsidR="005A396C" w:rsidRPr="005A396C" w:rsidRDefault="005A396C" w:rsidP="005A396C">
      <w:p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p>
    <w:p w:rsidR="00BA3855" w:rsidRDefault="00BA3855" w:rsidP="001E2CDF">
      <w:pPr>
        <w:pStyle w:val="Paragraphedeliste"/>
        <w:numPr>
          <w:ilvl w:val="0"/>
          <w:numId w:val="2"/>
        </w:num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r>
        <w:rPr>
          <w:rFonts w:ascii="Arial" w:eastAsia="Times New Roman" w:hAnsi="Arial" w:cs="Arial"/>
          <w:color w:val="333333"/>
          <w:sz w:val="26"/>
          <w:szCs w:val="26"/>
          <w:lang w:eastAsia="fr-FR"/>
        </w:rPr>
        <w:t xml:space="preserve">Web social – web participatif </w:t>
      </w:r>
    </w:p>
    <w:p w:rsidR="00BA3855" w:rsidRDefault="00BA3855" w:rsidP="00BA3855">
      <w:pPr>
        <w:pStyle w:val="NormalWeb"/>
        <w:shd w:val="clear" w:color="auto" w:fill="FFFFFF"/>
        <w:spacing w:before="0" w:beforeAutospacing="0" w:after="0" w:afterAutospacing="0" w:line="384" w:lineRule="atLeast"/>
        <w:ind w:firstLine="708"/>
        <w:jc w:val="both"/>
        <w:textAlignment w:val="baseline"/>
        <w:rPr>
          <w:rFonts w:ascii="Arial" w:hAnsi="Arial" w:cs="Arial"/>
          <w:color w:val="000000"/>
          <w:sz w:val="21"/>
          <w:szCs w:val="21"/>
        </w:rPr>
      </w:pPr>
      <w:r>
        <w:rPr>
          <w:rFonts w:ascii="Arial" w:hAnsi="Arial" w:cs="Arial"/>
          <w:color w:val="000000"/>
          <w:sz w:val="21"/>
          <w:szCs w:val="21"/>
        </w:rPr>
        <w:t xml:space="preserve">Ensemble des sites web qui permettent aux internautes de contribuer et participer à la </w:t>
      </w:r>
      <w:proofErr w:type="spellStart"/>
      <w:r>
        <w:rPr>
          <w:rFonts w:ascii="Arial" w:hAnsi="Arial" w:cs="Arial"/>
          <w:color w:val="000000"/>
          <w:sz w:val="21"/>
          <w:szCs w:val="21"/>
        </w:rPr>
        <w:t>co</w:t>
      </w:r>
      <w:proofErr w:type="spellEnd"/>
      <w:r>
        <w:rPr>
          <w:rFonts w:ascii="Arial" w:hAnsi="Arial" w:cs="Arial"/>
          <w:color w:val="000000"/>
          <w:sz w:val="21"/>
          <w:szCs w:val="21"/>
        </w:rPr>
        <w:t>-construction du site ou à des interactions avec d’autres internautes.</w:t>
      </w:r>
    </w:p>
    <w:p w:rsidR="00BA3855" w:rsidRPr="00BA3855" w:rsidRDefault="00BA3855" w:rsidP="00BA3855">
      <w:pPr>
        <w:shd w:val="clear" w:color="auto" w:fill="FFFFFF"/>
        <w:spacing w:before="240" w:after="240" w:line="332" w:lineRule="atLeast"/>
        <w:textAlignment w:val="baseline"/>
        <w:outlineLvl w:val="4"/>
        <w:rPr>
          <w:rFonts w:ascii="Arial" w:eastAsia="Times New Roman" w:hAnsi="Arial" w:cs="Arial"/>
          <w:color w:val="333333"/>
          <w:sz w:val="26"/>
          <w:szCs w:val="26"/>
          <w:lang w:eastAsia="fr-FR"/>
        </w:rPr>
      </w:pPr>
    </w:p>
    <w:p w:rsidR="00DA7F1D" w:rsidRPr="00AE1F7C" w:rsidRDefault="00DA7F1D" w:rsidP="00AE1F7C">
      <w:pPr>
        <w:ind w:firstLine="708"/>
        <w:jc w:val="both"/>
        <w:rPr>
          <w:rFonts w:asciiTheme="majorBidi" w:hAnsiTheme="majorBidi" w:cstheme="majorBidi"/>
          <w:sz w:val="36"/>
          <w:szCs w:val="36"/>
        </w:rPr>
      </w:pPr>
    </w:p>
    <w:sectPr w:rsidR="00DA7F1D" w:rsidRPr="00AE1F7C" w:rsidSect="006614D0">
      <w:pgSz w:w="11906" w:h="17338"/>
      <w:pgMar w:top="1236" w:right="1219" w:bottom="225" w:left="13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MRoman10-Regular">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36174"/>
    <w:multiLevelType w:val="hybridMultilevel"/>
    <w:tmpl w:val="11680D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66F6FBC"/>
    <w:multiLevelType w:val="hybridMultilevel"/>
    <w:tmpl w:val="B7F0FE74"/>
    <w:lvl w:ilvl="0" w:tplc="4D726CB4">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B7"/>
    <w:rsid w:val="0000792C"/>
    <w:rsid w:val="000E5D3B"/>
    <w:rsid w:val="00173010"/>
    <w:rsid w:val="001A0BBA"/>
    <w:rsid w:val="001A29B3"/>
    <w:rsid w:val="001E2CDF"/>
    <w:rsid w:val="00302E9E"/>
    <w:rsid w:val="00306E25"/>
    <w:rsid w:val="004B7456"/>
    <w:rsid w:val="005A396C"/>
    <w:rsid w:val="00653B53"/>
    <w:rsid w:val="00657AF0"/>
    <w:rsid w:val="007F5880"/>
    <w:rsid w:val="00826156"/>
    <w:rsid w:val="0083749A"/>
    <w:rsid w:val="008C3F53"/>
    <w:rsid w:val="00904034"/>
    <w:rsid w:val="009A27C6"/>
    <w:rsid w:val="00AE1F7C"/>
    <w:rsid w:val="00AF4951"/>
    <w:rsid w:val="00B20838"/>
    <w:rsid w:val="00BA3855"/>
    <w:rsid w:val="00C26340"/>
    <w:rsid w:val="00D95060"/>
    <w:rsid w:val="00DA7F1D"/>
    <w:rsid w:val="00DD631C"/>
    <w:rsid w:val="00E01D8F"/>
    <w:rsid w:val="00E65FB7"/>
    <w:rsid w:val="00ED4751"/>
    <w:rsid w:val="00FF50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F3D71-6F9E-4FE4-8F40-4F1A64DD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E5D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0E5D3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65F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0E5D3B"/>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0E5D3B"/>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06E25"/>
    <w:pPr>
      <w:ind w:left="720"/>
      <w:contextualSpacing/>
    </w:pPr>
  </w:style>
  <w:style w:type="character" w:styleId="Lienhypertexte">
    <w:name w:val="Hyperlink"/>
    <w:basedOn w:val="Policepardfaut"/>
    <w:uiPriority w:val="99"/>
    <w:unhideWhenUsed/>
    <w:rsid w:val="00B20838"/>
    <w:rPr>
      <w:color w:val="0563C1" w:themeColor="hyperlink"/>
      <w:u w:val="single"/>
    </w:rPr>
  </w:style>
  <w:style w:type="paragraph" w:styleId="NormalWeb">
    <w:name w:val="Normal (Web)"/>
    <w:basedOn w:val="Normal"/>
    <w:uiPriority w:val="99"/>
    <w:semiHidden/>
    <w:unhideWhenUsed/>
    <w:rsid w:val="001E2CD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8719">
      <w:bodyDiv w:val="1"/>
      <w:marLeft w:val="0"/>
      <w:marRight w:val="0"/>
      <w:marTop w:val="0"/>
      <w:marBottom w:val="0"/>
      <w:divBdr>
        <w:top w:val="none" w:sz="0" w:space="0" w:color="auto"/>
        <w:left w:val="none" w:sz="0" w:space="0" w:color="auto"/>
        <w:bottom w:val="none" w:sz="0" w:space="0" w:color="auto"/>
        <w:right w:val="none" w:sz="0" w:space="0" w:color="auto"/>
      </w:divBdr>
    </w:div>
    <w:div w:id="283124522">
      <w:bodyDiv w:val="1"/>
      <w:marLeft w:val="0"/>
      <w:marRight w:val="0"/>
      <w:marTop w:val="0"/>
      <w:marBottom w:val="0"/>
      <w:divBdr>
        <w:top w:val="none" w:sz="0" w:space="0" w:color="auto"/>
        <w:left w:val="none" w:sz="0" w:space="0" w:color="auto"/>
        <w:bottom w:val="none" w:sz="0" w:space="0" w:color="auto"/>
        <w:right w:val="none" w:sz="0" w:space="0" w:color="auto"/>
      </w:divBdr>
    </w:div>
    <w:div w:id="714280039">
      <w:bodyDiv w:val="1"/>
      <w:marLeft w:val="0"/>
      <w:marRight w:val="0"/>
      <w:marTop w:val="0"/>
      <w:marBottom w:val="0"/>
      <w:divBdr>
        <w:top w:val="none" w:sz="0" w:space="0" w:color="auto"/>
        <w:left w:val="none" w:sz="0" w:space="0" w:color="auto"/>
        <w:bottom w:val="none" w:sz="0" w:space="0" w:color="auto"/>
        <w:right w:val="none" w:sz="0" w:space="0" w:color="auto"/>
      </w:divBdr>
    </w:div>
    <w:div w:id="1248076067">
      <w:bodyDiv w:val="1"/>
      <w:marLeft w:val="0"/>
      <w:marRight w:val="0"/>
      <w:marTop w:val="0"/>
      <w:marBottom w:val="0"/>
      <w:divBdr>
        <w:top w:val="none" w:sz="0" w:space="0" w:color="auto"/>
        <w:left w:val="none" w:sz="0" w:space="0" w:color="auto"/>
        <w:bottom w:val="none" w:sz="0" w:space="0" w:color="auto"/>
        <w:right w:val="none" w:sz="0" w:space="0" w:color="auto"/>
      </w:divBdr>
    </w:div>
    <w:div w:id="1565599370">
      <w:bodyDiv w:val="1"/>
      <w:marLeft w:val="0"/>
      <w:marRight w:val="0"/>
      <w:marTop w:val="0"/>
      <w:marBottom w:val="0"/>
      <w:divBdr>
        <w:top w:val="none" w:sz="0" w:space="0" w:color="auto"/>
        <w:left w:val="none" w:sz="0" w:space="0" w:color="auto"/>
        <w:bottom w:val="none" w:sz="0" w:space="0" w:color="auto"/>
        <w:right w:val="none" w:sz="0" w:space="0" w:color="auto"/>
      </w:divBdr>
    </w:div>
    <w:div w:id="21253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ml.at/fr/ECML-Programme/Programme-2016-2019/Digital-liter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2680</TotalTime>
  <Pages>4</Pages>
  <Words>594</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2025-04-27T20:03:00Z</dcterms:created>
  <dcterms:modified xsi:type="dcterms:W3CDTF">2025-04-29T18:04:00Z</dcterms:modified>
</cp:coreProperties>
</file>