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8A" w:rsidRDefault="00477E8A" w:rsidP="00E31B5E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</w:t>
      </w:r>
      <w:r w:rsidRPr="00477E8A">
        <w:rPr>
          <w:rFonts w:asciiTheme="majorBidi" w:hAnsiTheme="majorBidi" w:cstheme="majorBidi"/>
          <w:b/>
          <w:bCs/>
          <w:sz w:val="24"/>
          <w:szCs w:val="24"/>
        </w:rPr>
        <w:t>es relations sémantiques</w:t>
      </w:r>
    </w:p>
    <w:p w:rsidR="00ED46E5" w:rsidRPr="00ED46E5" w:rsidRDefault="00ED46E5" w:rsidP="00ED46E5">
      <w:pPr>
        <w:rPr>
          <w:rFonts w:asciiTheme="majorBidi" w:hAnsiTheme="majorBidi" w:cstheme="majorBidi"/>
          <w:sz w:val="24"/>
          <w:szCs w:val="24"/>
        </w:rPr>
      </w:pPr>
    </w:p>
    <w:p w:rsidR="00477E8A" w:rsidRPr="00477E8A" w:rsidRDefault="00477E8A" w:rsidP="00593FA0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77E8A"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 w:rsidR="00593FA0">
        <w:rPr>
          <w:rFonts w:asciiTheme="majorBidi" w:hAnsiTheme="majorBidi" w:cstheme="majorBidi"/>
          <w:b/>
          <w:bCs/>
          <w:sz w:val="24"/>
          <w:szCs w:val="24"/>
        </w:rPr>
        <w:t>L</w:t>
      </w:r>
      <w:r w:rsidRPr="00477E8A">
        <w:rPr>
          <w:rFonts w:asciiTheme="majorBidi" w:hAnsiTheme="majorBidi" w:cstheme="majorBidi"/>
          <w:b/>
          <w:bCs/>
          <w:sz w:val="24"/>
          <w:szCs w:val="24"/>
        </w:rPr>
        <w:t xml:space="preserve">a synonymie </w:t>
      </w:r>
    </w:p>
    <w:p w:rsidR="0078450A" w:rsidRDefault="00477E8A" w:rsidP="00E51F92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8450A">
        <w:rPr>
          <w:rFonts w:asciiTheme="majorBidi" w:hAnsiTheme="majorBidi" w:cstheme="majorBidi"/>
          <w:sz w:val="24"/>
          <w:szCs w:val="24"/>
        </w:rPr>
        <w:t>La synonymie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8450A" w:rsidRPr="0078450A">
        <w:rPr>
          <w:rFonts w:asciiTheme="majorBidi" w:hAnsiTheme="majorBidi" w:cstheme="majorBidi"/>
          <w:sz w:val="24"/>
          <w:szCs w:val="24"/>
        </w:rPr>
        <w:t>est la relation d’équivalence sémantique qui existe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8450A" w:rsidRPr="0078450A">
        <w:rPr>
          <w:rFonts w:asciiTheme="majorBidi" w:hAnsiTheme="majorBidi" w:cstheme="majorBidi"/>
          <w:sz w:val="24"/>
          <w:szCs w:val="24"/>
        </w:rPr>
        <w:t>entre les signifiés de deux unités linguistiques appartenant à la même catégorie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8450A" w:rsidRPr="0078450A">
        <w:rPr>
          <w:rFonts w:asciiTheme="majorBidi" w:hAnsiTheme="majorBidi" w:cstheme="majorBidi"/>
          <w:sz w:val="24"/>
          <w:szCs w:val="24"/>
        </w:rPr>
        <w:t>grammaticale, mais ayant des signifiants différents</w:t>
      </w:r>
      <w:r>
        <w:rPr>
          <w:rFonts w:asciiTheme="majorBidi" w:hAnsiTheme="majorBidi" w:cstheme="majorBidi"/>
          <w:sz w:val="24"/>
          <w:szCs w:val="24"/>
        </w:rPr>
        <w:t xml:space="preserve">.  Deux vocables sont synonymes lorsqu’ils sont mutuellement interchangeables et </w:t>
      </w:r>
      <w:r w:rsidRPr="0078450A">
        <w:rPr>
          <w:rFonts w:asciiTheme="majorBidi" w:hAnsiTheme="majorBidi" w:cstheme="majorBidi"/>
          <w:sz w:val="24"/>
          <w:szCs w:val="24"/>
        </w:rPr>
        <w:t>q</w:t>
      </w:r>
      <w:r>
        <w:rPr>
          <w:rFonts w:asciiTheme="majorBidi" w:hAnsiTheme="majorBidi" w:cstheme="majorBidi"/>
          <w:sz w:val="24"/>
          <w:szCs w:val="24"/>
        </w:rPr>
        <w:t xml:space="preserve">ue la substitution n’a aucune incidence sur le sens de la phrase. </w:t>
      </w:r>
    </w:p>
    <w:p w:rsidR="004C631D" w:rsidRDefault="00477E8A" w:rsidP="00E51F92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Toutefois, les synonymes parfaits/absolus n’existent </w:t>
      </w:r>
      <w:r w:rsidRPr="0078450A">
        <w:rPr>
          <w:rFonts w:asciiTheme="majorBidi" w:hAnsiTheme="majorBidi" w:cstheme="majorBidi"/>
          <w:sz w:val="24"/>
          <w:szCs w:val="24"/>
        </w:rPr>
        <w:t>q</w:t>
      </w:r>
      <w:r>
        <w:rPr>
          <w:rFonts w:asciiTheme="majorBidi" w:hAnsiTheme="majorBidi" w:cstheme="majorBidi"/>
          <w:sz w:val="24"/>
          <w:szCs w:val="24"/>
        </w:rPr>
        <w:t xml:space="preserve">ue dans les langues de spécialité comme la </w:t>
      </w:r>
      <w:r w:rsidR="00C31A9A">
        <w:rPr>
          <w:rFonts w:asciiTheme="majorBidi" w:hAnsiTheme="majorBidi" w:cstheme="majorBidi"/>
          <w:sz w:val="24"/>
          <w:szCs w:val="24"/>
        </w:rPr>
        <w:t>médecine</w:t>
      </w:r>
      <w:r>
        <w:rPr>
          <w:rFonts w:asciiTheme="majorBidi" w:hAnsiTheme="majorBidi" w:cstheme="majorBidi"/>
          <w:sz w:val="24"/>
          <w:szCs w:val="24"/>
        </w:rPr>
        <w:t xml:space="preserve">, la technologie, etc. </w:t>
      </w:r>
      <w:r w:rsidR="00ED46E5">
        <w:rPr>
          <w:rFonts w:asciiTheme="majorBidi" w:hAnsiTheme="majorBidi" w:cstheme="majorBidi"/>
          <w:sz w:val="24"/>
          <w:szCs w:val="24"/>
        </w:rPr>
        <w:t>E</w:t>
      </w:r>
      <w:r w:rsidR="004C631D">
        <w:rPr>
          <w:rFonts w:asciiTheme="majorBidi" w:hAnsiTheme="majorBidi" w:cstheme="majorBidi"/>
          <w:sz w:val="24"/>
          <w:szCs w:val="24"/>
        </w:rPr>
        <w:t xml:space="preserve">xemple en médecine : ictère/jaunisse </w:t>
      </w:r>
      <w:r w:rsidR="004C631D" w:rsidRPr="0078450A">
        <w:rPr>
          <w:rFonts w:asciiTheme="majorBidi" w:hAnsiTheme="majorBidi" w:cstheme="majorBidi"/>
          <w:sz w:val="24"/>
          <w:szCs w:val="24"/>
        </w:rPr>
        <w:t>q</w:t>
      </w:r>
      <w:r w:rsidR="004C631D">
        <w:rPr>
          <w:rFonts w:asciiTheme="majorBidi" w:hAnsiTheme="majorBidi" w:cstheme="majorBidi"/>
          <w:sz w:val="24"/>
          <w:szCs w:val="24"/>
        </w:rPr>
        <w:t xml:space="preserve">ui sont synonymes parfaits.  </w:t>
      </w:r>
    </w:p>
    <w:p w:rsidR="00F315B6" w:rsidRDefault="00477E8A" w:rsidP="00E51F92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langue commune ou lexi</w:t>
      </w:r>
      <w:r w:rsidRPr="0078450A">
        <w:rPr>
          <w:rFonts w:asciiTheme="majorBidi" w:hAnsiTheme="majorBidi" w:cstheme="majorBidi"/>
          <w:sz w:val="24"/>
          <w:szCs w:val="24"/>
        </w:rPr>
        <w:t>q</w:t>
      </w:r>
      <w:r>
        <w:rPr>
          <w:rFonts w:asciiTheme="majorBidi" w:hAnsiTheme="majorBidi" w:cstheme="majorBidi"/>
          <w:sz w:val="24"/>
          <w:szCs w:val="24"/>
        </w:rPr>
        <w:t xml:space="preserve">ue général n’admet </w:t>
      </w:r>
      <w:r w:rsidR="00C31A9A" w:rsidRPr="0078450A">
        <w:rPr>
          <w:rFonts w:asciiTheme="majorBidi" w:hAnsiTheme="majorBidi" w:cstheme="majorBidi"/>
          <w:sz w:val="24"/>
          <w:szCs w:val="24"/>
        </w:rPr>
        <w:t>q</w:t>
      </w:r>
      <w:r w:rsidR="00F11E50">
        <w:rPr>
          <w:rFonts w:asciiTheme="majorBidi" w:hAnsiTheme="majorBidi" w:cstheme="majorBidi"/>
          <w:sz w:val="24"/>
          <w:szCs w:val="24"/>
        </w:rPr>
        <w:t xml:space="preserve">ue des parasynonymes, c'est-à-dire synonymie partielle ou contextuelle. </w:t>
      </w:r>
      <w:r w:rsidR="00E51F92">
        <w:rPr>
          <w:rFonts w:asciiTheme="majorBidi" w:hAnsiTheme="majorBidi" w:cstheme="majorBidi"/>
          <w:sz w:val="24"/>
          <w:szCs w:val="24"/>
        </w:rPr>
        <w:t xml:space="preserve">Parfois, deux vocables (synonymes en principe) ne fonctionnent pas toujours comme synonymes et cela du dépend du contexte : </w:t>
      </w:r>
    </w:p>
    <w:p w:rsidR="00F315B6" w:rsidRDefault="007A29B9" w:rsidP="00E51F92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« </w:t>
      </w:r>
      <w:r w:rsidR="00F315B6">
        <w:rPr>
          <w:rFonts w:asciiTheme="majorBidi" w:hAnsiTheme="majorBidi" w:cstheme="majorBidi"/>
          <w:sz w:val="24"/>
          <w:szCs w:val="24"/>
        </w:rPr>
        <w:t>Une affaire sérieuse</w:t>
      </w:r>
      <w:r>
        <w:rPr>
          <w:rFonts w:asciiTheme="majorBidi" w:hAnsiTheme="majorBidi" w:cstheme="majorBidi"/>
          <w:sz w:val="24"/>
          <w:szCs w:val="24"/>
        </w:rPr>
        <w:t> »</w:t>
      </w:r>
      <w:r w:rsidR="00F315B6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« </w:t>
      </w:r>
      <w:r w:rsidR="00F315B6" w:rsidRPr="00F315B6">
        <w:rPr>
          <w:rFonts w:asciiTheme="majorBidi" w:hAnsiTheme="majorBidi" w:cstheme="majorBidi"/>
          <w:sz w:val="24"/>
          <w:szCs w:val="24"/>
        </w:rPr>
        <w:t>une aff</w:t>
      </w:r>
      <w:r w:rsidR="00F315B6">
        <w:rPr>
          <w:rFonts w:asciiTheme="majorBidi" w:hAnsiTheme="majorBidi" w:cstheme="majorBidi"/>
          <w:sz w:val="24"/>
          <w:szCs w:val="24"/>
        </w:rPr>
        <w:t>aire grave</w:t>
      </w:r>
      <w:r>
        <w:rPr>
          <w:rFonts w:asciiTheme="majorBidi" w:hAnsiTheme="majorBidi" w:cstheme="majorBidi"/>
          <w:sz w:val="24"/>
          <w:szCs w:val="24"/>
        </w:rPr>
        <w:t> »</w:t>
      </w:r>
      <w:r w:rsidR="00F315B6">
        <w:rPr>
          <w:rFonts w:asciiTheme="majorBidi" w:hAnsiTheme="majorBidi" w:cstheme="majorBidi"/>
          <w:sz w:val="24"/>
          <w:szCs w:val="24"/>
        </w:rPr>
        <w:t xml:space="preserve">, MAIS un son grave : on ne peut pas dire un </w:t>
      </w:r>
      <w:r w:rsidR="00F315B6" w:rsidRPr="00F315B6">
        <w:rPr>
          <w:rFonts w:asciiTheme="majorBidi" w:hAnsiTheme="majorBidi" w:cstheme="majorBidi"/>
          <w:sz w:val="24"/>
          <w:szCs w:val="24"/>
        </w:rPr>
        <w:t>son sérieux</w:t>
      </w:r>
      <w:r w:rsidR="00E51F92">
        <w:rPr>
          <w:rFonts w:asciiTheme="majorBidi" w:hAnsiTheme="majorBidi" w:cstheme="majorBidi"/>
          <w:sz w:val="24"/>
          <w:szCs w:val="24"/>
        </w:rPr>
        <w:t xml:space="preserve">, ou </w:t>
      </w:r>
      <w:r w:rsidR="00F315B6">
        <w:rPr>
          <w:rFonts w:asciiTheme="majorBidi" w:hAnsiTheme="majorBidi" w:cstheme="majorBidi"/>
          <w:sz w:val="24"/>
          <w:szCs w:val="24"/>
        </w:rPr>
        <w:t xml:space="preserve"> </w:t>
      </w:r>
      <w:r w:rsidR="00E51F92">
        <w:rPr>
          <w:rFonts w:asciiTheme="majorBidi" w:hAnsiTheme="majorBidi" w:cstheme="majorBidi"/>
          <w:sz w:val="24"/>
          <w:szCs w:val="24"/>
        </w:rPr>
        <w:t>« u</w:t>
      </w:r>
      <w:r w:rsidR="00F315B6">
        <w:rPr>
          <w:rFonts w:asciiTheme="majorBidi" w:hAnsiTheme="majorBidi" w:cstheme="majorBidi"/>
          <w:sz w:val="24"/>
          <w:szCs w:val="24"/>
        </w:rPr>
        <w:t>n accent grave</w:t>
      </w:r>
      <w:r w:rsidR="00E51F92">
        <w:rPr>
          <w:rFonts w:asciiTheme="majorBidi" w:hAnsiTheme="majorBidi" w:cstheme="majorBidi"/>
          <w:sz w:val="24"/>
          <w:szCs w:val="24"/>
        </w:rPr>
        <w:t> »</w:t>
      </w:r>
      <w:r w:rsidR="00F315B6">
        <w:rPr>
          <w:rFonts w:asciiTheme="majorBidi" w:hAnsiTheme="majorBidi" w:cstheme="majorBidi"/>
          <w:sz w:val="24"/>
          <w:szCs w:val="24"/>
        </w:rPr>
        <w:t xml:space="preserve"> : </w:t>
      </w:r>
      <w:r w:rsidR="00E51F92">
        <w:rPr>
          <w:rFonts w:asciiTheme="majorBidi" w:hAnsiTheme="majorBidi" w:cstheme="majorBidi"/>
          <w:sz w:val="24"/>
          <w:szCs w:val="24"/>
        </w:rPr>
        <w:t>on ne peut dire « </w:t>
      </w:r>
      <w:r w:rsidR="00F315B6" w:rsidRPr="00F315B6">
        <w:rPr>
          <w:rFonts w:asciiTheme="majorBidi" w:hAnsiTheme="majorBidi" w:cstheme="majorBidi"/>
          <w:sz w:val="24"/>
          <w:szCs w:val="24"/>
        </w:rPr>
        <w:t>un accent sérieux</w:t>
      </w:r>
      <w:r w:rsidR="00E51F92">
        <w:rPr>
          <w:rFonts w:asciiTheme="majorBidi" w:hAnsiTheme="majorBidi" w:cstheme="majorBidi"/>
          <w:sz w:val="24"/>
          <w:szCs w:val="24"/>
        </w:rPr>
        <w:t> »</w:t>
      </w:r>
      <w:r w:rsidR="00F315B6" w:rsidRPr="00F315B6">
        <w:rPr>
          <w:rFonts w:asciiTheme="majorBidi" w:hAnsiTheme="majorBidi" w:cstheme="majorBidi"/>
          <w:sz w:val="24"/>
          <w:szCs w:val="24"/>
        </w:rPr>
        <w:t>.</w:t>
      </w:r>
      <w:r w:rsidR="00E51F92">
        <w:rPr>
          <w:rFonts w:asciiTheme="majorBidi" w:hAnsiTheme="majorBidi" w:cstheme="majorBidi"/>
          <w:sz w:val="24"/>
          <w:szCs w:val="24"/>
        </w:rPr>
        <w:t xml:space="preserve"> </w:t>
      </w:r>
    </w:p>
    <w:p w:rsidR="00F11E50" w:rsidRDefault="007A29B9" w:rsidP="00F315B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Examinons l’e</w:t>
      </w:r>
      <w:r w:rsidR="00F11E50">
        <w:rPr>
          <w:rFonts w:asciiTheme="majorBidi" w:hAnsiTheme="majorBidi" w:cstheme="majorBidi"/>
          <w:sz w:val="24"/>
          <w:szCs w:val="24"/>
        </w:rPr>
        <w:t>xemple</w:t>
      </w:r>
      <w:r>
        <w:rPr>
          <w:rFonts w:asciiTheme="majorBidi" w:hAnsiTheme="majorBidi" w:cstheme="majorBidi"/>
          <w:sz w:val="24"/>
          <w:szCs w:val="24"/>
        </w:rPr>
        <w:t xml:space="preserve"> suivant</w:t>
      </w:r>
      <w:r w:rsidR="00F11E50">
        <w:rPr>
          <w:rFonts w:asciiTheme="majorBidi" w:hAnsiTheme="majorBidi" w:cstheme="majorBidi"/>
          <w:sz w:val="24"/>
          <w:szCs w:val="24"/>
        </w:rPr>
        <w:t xml:space="preserve"> : </w:t>
      </w:r>
    </w:p>
    <w:tbl>
      <w:tblPr>
        <w:tblStyle w:val="Grilledutableau"/>
        <w:tblW w:w="0" w:type="auto"/>
        <w:tblLook w:val="04A0"/>
      </w:tblPr>
      <w:tblGrid>
        <w:gridCol w:w="3142"/>
        <w:gridCol w:w="3142"/>
        <w:gridCol w:w="1986"/>
      </w:tblGrid>
      <w:tr w:rsidR="00F11E50" w:rsidTr="00F11E50">
        <w:trPr>
          <w:trHeight w:val="323"/>
        </w:trPr>
        <w:tc>
          <w:tcPr>
            <w:tcW w:w="3142" w:type="dxa"/>
          </w:tcPr>
          <w:p w:rsidR="00F11E50" w:rsidRDefault="00F11E50" w:rsidP="00F11E50">
            <w:pPr>
              <w:tabs>
                <w:tab w:val="left" w:pos="3345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Parasynonymes  </w:t>
            </w:r>
          </w:p>
        </w:tc>
        <w:tc>
          <w:tcPr>
            <w:tcW w:w="3142" w:type="dxa"/>
          </w:tcPr>
          <w:p w:rsidR="00F11E50" w:rsidRDefault="00F11E50" w:rsidP="00F11E50">
            <w:pPr>
              <w:tabs>
                <w:tab w:val="left" w:pos="3345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Personne</w:t>
            </w:r>
          </w:p>
        </w:tc>
        <w:tc>
          <w:tcPr>
            <w:tcW w:w="1986" w:type="dxa"/>
          </w:tcPr>
          <w:p w:rsidR="00F11E50" w:rsidRDefault="00F11E50" w:rsidP="00F11E50">
            <w:pPr>
              <w:tabs>
                <w:tab w:val="left" w:pos="3345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Objet </w:t>
            </w:r>
          </w:p>
        </w:tc>
      </w:tr>
      <w:tr w:rsidR="00F11E50" w:rsidTr="00F11E50">
        <w:trPr>
          <w:trHeight w:val="323"/>
        </w:trPr>
        <w:tc>
          <w:tcPr>
            <w:tcW w:w="3142" w:type="dxa"/>
          </w:tcPr>
          <w:p w:rsidR="00F11E50" w:rsidRDefault="00F11E50" w:rsidP="00F11E50">
            <w:pPr>
              <w:tabs>
                <w:tab w:val="left" w:pos="3345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Frêle </w:t>
            </w:r>
          </w:p>
        </w:tc>
        <w:tc>
          <w:tcPr>
            <w:tcW w:w="3142" w:type="dxa"/>
          </w:tcPr>
          <w:p w:rsidR="00F11E50" w:rsidRDefault="00F315B6" w:rsidP="00F11E50">
            <w:pPr>
              <w:tabs>
                <w:tab w:val="left" w:pos="3345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+</w:t>
            </w:r>
          </w:p>
        </w:tc>
        <w:tc>
          <w:tcPr>
            <w:tcW w:w="1986" w:type="dxa"/>
          </w:tcPr>
          <w:p w:rsidR="00F11E50" w:rsidRDefault="00F315B6" w:rsidP="00F11E50">
            <w:pPr>
              <w:tabs>
                <w:tab w:val="left" w:pos="3345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-</w:t>
            </w:r>
          </w:p>
        </w:tc>
      </w:tr>
      <w:tr w:rsidR="00F11E50" w:rsidTr="00F11E50">
        <w:trPr>
          <w:trHeight w:val="269"/>
        </w:trPr>
        <w:tc>
          <w:tcPr>
            <w:tcW w:w="3142" w:type="dxa"/>
          </w:tcPr>
          <w:p w:rsidR="00F11E50" w:rsidRDefault="00F11E50" w:rsidP="00F11E50">
            <w:pPr>
              <w:tabs>
                <w:tab w:val="left" w:pos="945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Fragile </w:t>
            </w:r>
          </w:p>
        </w:tc>
        <w:tc>
          <w:tcPr>
            <w:tcW w:w="3142" w:type="dxa"/>
          </w:tcPr>
          <w:p w:rsidR="00F11E50" w:rsidRDefault="00F315B6" w:rsidP="00F11E50">
            <w:pPr>
              <w:tabs>
                <w:tab w:val="left" w:pos="3345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+</w:t>
            </w:r>
          </w:p>
        </w:tc>
        <w:tc>
          <w:tcPr>
            <w:tcW w:w="1986" w:type="dxa"/>
          </w:tcPr>
          <w:p w:rsidR="00F11E50" w:rsidRDefault="00F315B6" w:rsidP="00F11E50">
            <w:pPr>
              <w:tabs>
                <w:tab w:val="left" w:pos="3345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+</w:t>
            </w:r>
          </w:p>
        </w:tc>
      </w:tr>
    </w:tbl>
    <w:p w:rsidR="00F11E50" w:rsidRDefault="00F11E50" w:rsidP="00F11E50">
      <w:pPr>
        <w:tabs>
          <w:tab w:val="left" w:pos="3345"/>
        </w:tabs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11E50" w:rsidRDefault="00F315B6" w:rsidP="00F315B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« Frêle » et « fragile » n’ont pas les mêmes signifiés mais ils sont synonymes par une de leurs acceptions. A l’intérieur d’un [se] il y a plusieurs acceptions (</w:t>
      </w:r>
      <w:r w:rsidRPr="00DF3C3C">
        <w:rPr>
          <w:rFonts w:asciiTheme="majorBidi" w:hAnsiTheme="majorBidi" w:cstheme="majorBidi"/>
          <w:b/>
          <w:bCs/>
          <w:sz w:val="24"/>
          <w:szCs w:val="24"/>
        </w:rPr>
        <w:t>sèmes</w:t>
      </w:r>
      <w:r>
        <w:rPr>
          <w:rFonts w:asciiTheme="majorBidi" w:hAnsiTheme="majorBidi" w:cstheme="majorBidi"/>
          <w:sz w:val="24"/>
          <w:szCs w:val="24"/>
        </w:rPr>
        <w:t xml:space="preserve"> ou traits sémantiques). </w:t>
      </w:r>
    </w:p>
    <w:p w:rsidR="00095629" w:rsidRDefault="00F315B6" w:rsidP="0077272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</w:t>
      </w:r>
      <w:r w:rsidR="00F11E50">
        <w:rPr>
          <w:rFonts w:asciiTheme="majorBidi" w:hAnsiTheme="majorBidi" w:cstheme="majorBidi"/>
          <w:sz w:val="24"/>
          <w:szCs w:val="24"/>
        </w:rPr>
        <w:t xml:space="preserve">synonymie est une identité d’acception et non de signifié. </w:t>
      </w:r>
      <w:r w:rsidR="00F11E50" w:rsidRPr="00ED46E5">
        <w:rPr>
          <w:rFonts w:asciiTheme="majorBidi" w:hAnsiTheme="majorBidi" w:cstheme="majorBidi"/>
          <w:b/>
          <w:bCs/>
          <w:sz w:val="24"/>
          <w:szCs w:val="24"/>
        </w:rPr>
        <w:t>Exemple </w:t>
      </w:r>
      <w:r w:rsidR="00F11E50" w:rsidRPr="00ED46E5">
        <w:rPr>
          <w:rFonts w:asciiTheme="majorBidi" w:hAnsiTheme="majorBidi" w:cstheme="majorBidi"/>
          <w:sz w:val="24"/>
          <w:szCs w:val="24"/>
        </w:rPr>
        <w:t xml:space="preserve">: il cherche la </w:t>
      </w:r>
      <w:r w:rsidR="00F11E50" w:rsidRPr="00ED46E5">
        <w:rPr>
          <w:rFonts w:asciiTheme="majorBidi" w:hAnsiTheme="majorBidi" w:cstheme="majorBidi"/>
          <w:sz w:val="24"/>
          <w:szCs w:val="24"/>
          <w:u w:val="single"/>
        </w:rPr>
        <w:t>solution</w:t>
      </w:r>
      <w:r w:rsidR="00F11E50" w:rsidRPr="00ED46E5">
        <w:rPr>
          <w:rFonts w:asciiTheme="majorBidi" w:hAnsiTheme="majorBidi" w:cstheme="majorBidi"/>
          <w:sz w:val="24"/>
          <w:szCs w:val="24"/>
        </w:rPr>
        <w:t xml:space="preserve"> de l’énigme//il cherche la </w:t>
      </w:r>
      <w:r w:rsidR="00F11E50" w:rsidRPr="00ED46E5">
        <w:rPr>
          <w:rFonts w:asciiTheme="majorBidi" w:hAnsiTheme="majorBidi" w:cstheme="majorBidi"/>
          <w:sz w:val="24"/>
          <w:szCs w:val="24"/>
          <w:u w:val="single"/>
        </w:rPr>
        <w:t>clé</w:t>
      </w:r>
      <w:r w:rsidR="00F11E50" w:rsidRPr="00ED46E5">
        <w:rPr>
          <w:rFonts w:asciiTheme="majorBidi" w:hAnsiTheme="majorBidi" w:cstheme="majorBidi"/>
          <w:sz w:val="24"/>
          <w:szCs w:val="24"/>
        </w:rPr>
        <w:t xml:space="preserve"> de l’énigme.</w:t>
      </w:r>
      <w:r>
        <w:rPr>
          <w:rFonts w:asciiTheme="majorBidi" w:hAnsiTheme="majorBidi" w:cstheme="majorBidi"/>
          <w:sz w:val="24"/>
          <w:szCs w:val="24"/>
        </w:rPr>
        <w:t xml:space="preserve"> Ces deux unités sont synonymes par une de leur</w:t>
      </w:r>
      <w:r w:rsidR="00E51F92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acception</w:t>
      </w:r>
      <w:r w:rsidR="00E51F92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et elles n’ont pas le même signifié : sont des parasynonymes. </w:t>
      </w:r>
    </w:p>
    <w:p w:rsidR="0077272A" w:rsidRPr="0077272A" w:rsidRDefault="00DF3C3C" w:rsidP="0077272A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95629">
        <w:rPr>
          <w:rFonts w:asciiTheme="majorBidi" w:hAnsiTheme="majorBidi" w:cstheme="majorBidi"/>
          <w:b/>
          <w:bCs/>
          <w:sz w:val="24"/>
          <w:szCs w:val="24"/>
        </w:rPr>
        <w:t xml:space="preserve">Qu’est-ce que le sème </w:t>
      </w:r>
      <w:r w:rsidR="00095629" w:rsidRPr="00095629">
        <w:rPr>
          <w:rFonts w:asciiTheme="majorBidi" w:hAnsiTheme="majorBidi" w:cstheme="majorBidi"/>
          <w:sz w:val="24"/>
          <w:szCs w:val="24"/>
        </w:rPr>
        <w:t>c’est</w:t>
      </w:r>
      <w:r w:rsidR="00095629" w:rsidRPr="0009562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95629" w:rsidRPr="00095629">
        <w:rPr>
          <w:rFonts w:asciiTheme="majorBidi" w:hAnsiTheme="majorBidi" w:cstheme="majorBidi"/>
          <w:sz w:val="24"/>
          <w:szCs w:val="24"/>
        </w:rPr>
        <w:t xml:space="preserve">l’unité minimale de signification, trait sémantique distinctif, il représente le plus petit élément conceptuel constitutif de la signification (signifié) d’un mot. </w:t>
      </w:r>
      <w:r w:rsidR="0077272A" w:rsidRPr="0077272A">
        <w:rPr>
          <w:rFonts w:asciiTheme="majorBidi" w:hAnsiTheme="majorBidi" w:cstheme="majorBidi"/>
          <w:b/>
          <w:bCs/>
          <w:sz w:val="24"/>
          <w:szCs w:val="24"/>
        </w:rPr>
        <w:t xml:space="preserve">Sémème : </w:t>
      </w:r>
      <w:r w:rsidR="0077272A" w:rsidRPr="0077272A">
        <w:rPr>
          <w:rFonts w:asciiTheme="majorBidi" w:hAnsiTheme="majorBidi" w:cstheme="majorBidi"/>
          <w:sz w:val="24"/>
          <w:szCs w:val="24"/>
        </w:rPr>
        <w:t xml:space="preserve">est l’ensemble des sèmes, </w:t>
      </w:r>
      <w:r w:rsidR="0077272A">
        <w:rPr>
          <w:rFonts w:asciiTheme="majorBidi" w:hAnsiTheme="majorBidi" w:cstheme="majorBidi"/>
          <w:sz w:val="24"/>
          <w:szCs w:val="24"/>
        </w:rPr>
        <w:t xml:space="preserve">l’ensemble </w:t>
      </w:r>
      <w:r w:rsidR="0077272A" w:rsidRPr="0077272A">
        <w:rPr>
          <w:rFonts w:asciiTheme="majorBidi" w:hAnsiTheme="majorBidi" w:cstheme="majorBidi"/>
          <w:sz w:val="24"/>
          <w:szCs w:val="24"/>
        </w:rPr>
        <w:t>des sens particulier</w:t>
      </w:r>
      <w:r w:rsidR="0077272A">
        <w:rPr>
          <w:rFonts w:asciiTheme="majorBidi" w:hAnsiTheme="majorBidi" w:cstheme="majorBidi"/>
          <w:sz w:val="24"/>
          <w:szCs w:val="24"/>
        </w:rPr>
        <w:t xml:space="preserve">s, des acceptions </w:t>
      </w:r>
      <w:r w:rsidR="0077272A" w:rsidRPr="0077272A">
        <w:rPr>
          <w:rFonts w:asciiTheme="majorBidi" w:hAnsiTheme="majorBidi" w:cstheme="majorBidi"/>
          <w:sz w:val="24"/>
          <w:szCs w:val="24"/>
        </w:rPr>
        <w:t xml:space="preserve"> d’une unité lexicale.</w:t>
      </w:r>
      <w:r w:rsidR="0077272A" w:rsidRPr="0077272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77272A" w:rsidRPr="0077272A" w:rsidRDefault="0077272A" w:rsidP="0077272A">
      <w:pPr>
        <w:pStyle w:val="Paragraphedeliste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DF3C3C" w:rsidRPr="00095629" w:rsidRDefault="00DF3C3C" w:rsidP="00095629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95629">
        <w:rPr>
          <w:rFonts w:asciiTheme="majorBidi" w:hAnsiTheme="majorBidi" w:cstheme="majorBidi"/>
          <w:b/>
          <w:bCs/>
          <w:sz w:val="24"/>
          <w:szCs w:val="24"/>
        </w:rPr>
        <w:t>L’analyse sémique </w:t>
      </w:r>
      <w:r w:rsidR="00095629" w:rsidRPr="00095629">
        <w:rPr>
          <w:rFonts w:asciiTheme="majorBidi" w:hAnsiTheme="majorBidi" w:cstheme="majorBidi"/>
          <w:b/>
          <w:bCs/>
          <w:sz w:val="24"/>
          <w:szCs w:val="24"/>
        </w:rPr>
        <w:t xml:space="preserve">(componentielle) </w:t>
      </w:r>
      <w:r w:rsidRPr="00095629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:rsidR="00F11E50" w:rsidRDefault="00DF3C3C" w:rsidP="00095629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C’est la description sémantique des unités lexicales, c’est donc analyser le signifié "se". Il s’agit de rendre compte de la composition sémantique (les sèmes) de l’unité lexicale pour pouvoir distinguer </w:t>
      </w:r>
      <w:r w:rsidR="00095629">
        <w:rPr>
          <w:rFonts w:asciiTheme="majorBidi" w:hAnsiTheme="majorBidi" w:cstheme="majorBidi"/>
          <w:sz w:val="24"/>
          <w:szCs w:val="24"/>
        </w:rPr>
        <w:t xml:space="preserve">notamment </w:t>
      </w:r>
      <w:r>
        <w:rPr>
          <w:rFonts w:asciiTheme="majorBidi" w:hAnsiTheme="majorBidi" w:cstheme="majorBidi"/>
          <w:sz w:val="24"/>
          <w:szCs w:val="24"/>
        </w:rPr>
        <w:t xml:space="preserve">entre des synonymes. </w:t>
      </w:r>
    </w:p>
    <w:p w:rsidR="00DF3C3C" w:rsidRDefault="00DF3C3C" w:rsidP="00095629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Le principe de cette méthode est que le sens ou le signifié d’un mot n’est pas une unité indivisible mais il est composé de traits sémantiques (sèmes). Si le</w:t>
      </w:r>
      <w:r w:rsidR="0077272A">
        <w:rPr>
          <w:rFonts w:asciiTheme="majorBidi" w:hAnsiTheme="majorBidi" w:cstheme="majorBidi"/>
          <w:sz w:val="24"/>
          <w:szCs w:val="24"/>
        </w:rPr>
        <w:t xml:space="preserve"> signifiant [sa] est analysable</w:t>
      </w:r>
      <w:r>
        <w:rPr>
          <w:rFonts w:asciiTheme="majorBidi" w:hAnsiTheme="majorBidi" w:cstheme="majorBidi"/>
          <w:sz w:val="24"/>
          <w:szCs w:val="24"/>
        </w:rPr>
        <w:t xml:space="preserve"> en unités minimales distinctives appelées phonèmes, le signifié "se" doit aussi pouvoir s’analyser en unités minimales de signification qu’on appelle les </w:t>
      </w:r>
      <w:r w:rsidRPr="00095629">
        <w:rPr>
          <w:rFonts w:asciiTheme="majorBidi" w:hAnsiTheme="majorBidi" w:cstheme="majorBidi"/>
          <w:b/>
          <w:bCs/>
          <w:sz w:val="24"/>
          <w:szCs w:val="24"/>
          <w:u w:val="single"/>
        </w:rPr>
        <w:t>sèmes</w:t>
      </w:r>
      <w:r w:rsidR="00095629">
        <w:rPr>
          <w:rFonts w:asciiTheme="majorBidi" w:hAnsiTheme="majorBidi" w:cstheme="majorBidi"/>
          <w:sz w:val="24"/>
          <w:szCs w:val="24"/>
        </w:rPr>
        <w:t xml:space="preserve"> ou </w:t>
      </w:r>
      <w:r w:rsidR="00095629" w:rsidRPr="00095629">
        <w:rPr>
          <w:rFonts w:asciiTheme="majorBidi" w:hAnsiTheme="majorBidi" w:cstheme="majorBidi"/>
          <w:sz w:val="24"/>
          <w:szCs w:val="24"/>
          <w:u w:val="single"/>
        </w:rPr>
        <w:t>components</w:t>
      </w:r>
      <w:r w:rsidR="00095629">
        <w:rPr>
          <w:rFonts w:asciiTheme="majorBidi" w:hAnsiTheme="majorBidi" w:cstheme="majorBidi"/>
          <w:sz w:val="24"/>
          <w:szCs w:val="24"/>
        </w:rPr>
        <w:t xml:space="preserve">. Par analogie avec la phonologie, on peut considérer les sèmes comme des traits pertinents distinctifs ; ils permettent de différencier entre deux vocables qui fonctionnent comme synonymes. </w:t>
      </w:r>
    </w:p>
    <w:p w:rsidR="00095629" w:rsidRDefault="00095629" w:rsidP="00095629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L’analyse sémique désigne les procédures de la recherche de sèmes communs et distinctifs entre deux unités lexicales ou plus. </w:t>
      </w:r>
    </w:p>
    <w:p w:rsidR="00EC4711" w:rsidRDefault="003C2156" w:rsidP="003C2156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Exemple </w:t>
      </w:r>
      <w:r w:rsidR="00EC4711">
        <w:rPr>
          <w:rFonts w:asciiTheme="majorBidi" w:hAnsiTheme="majorBidi" w:cstheme="majorBidi"/>
          <w:sz w:val="24"/>
          <w:szCs w:val="24"/>
        </w:rPr>
        <w:t xml:space="preserve">d’analyse sémique </w:t>
      </w:r>
      <w:r>
        <w:rPr>
          <w:rFonts w:asciiTheme="majorBidi" w:hAnsiTheme="majorBidi" w:cstheme="majorBidi"/>
          <w:sz w:val="24"/>
          <w:szCs w:val="24"/>
        </w:rPr>
        <w:t xml:space="preserve">: </w:t>
      </w:r>
    </w:p>
    <w:p w:rsidR="003C2156" w:rsidRPr="00EC4711" w:rsidRDefault="003C2156" w:rsidP="00EC4711">
      <w:pPr>
        <w:pStyle w:val="Paragraphedeliste"/>
        <w:numPr>
          <w:ilvl w:val="0"/>
          <w:numId w:val="1"/>
        </w:num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C4711">
        <w:rPr>
          <w:rFonts w:asciiTheme="majorBidi" w:hAnsiTheme="majorBidi" w:cstheme="majorBidi"/>
          <w:sz w:val="24"/>
          <w:szCs w:val="24"/>
        </w:rPr>
        <w:t>fermer / verrouiller</w:t>
      </w:r>
    </w:p>
    <w:p w:rsidR="003C2156" w:rsidRDefault="003C2156" w:rsidP="00EC4711">
      <w:pPr>
        <w:tabs>
          <w:tab w:val="left" w:pos="2940"/>
          <w:tab w:val="left" w:pos="5430"/>
          <w:tab w:val="left" w:pos="7665"/>
        </w:tabs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Sème 1</w:t>
      </w:r>
      <w:r w:rsidR="00EC4711">
        <w:rPr>
          <w:rFonts w:asciiTheme="majorBidi" w:hAnsiTheme="majorBidi" w:cstheme="majorBidi"/>
          <w:sz w:val="24"/>
          <w:szCs w:val="24"/>
        </w:rPr>
        <w:t xml:space="preserve">                       </w:t>
      </w:r>
      <w:r>
        <w:rPr>
          <w:rFonts w:asciiTheme="majorBidi" w:hAnsiTheme="majorBidi" w:cstheme="majorBidi"/>
          <w:sz w:val="24"/>
          <w:szCs w:val="24"/>
        </w:rPr>
        <w:t>sème 2</w:t>
      </w:r>
      <w:r w:rsidR="00EC4711"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 w:rsidR="00EC4711" w:rsidRPr="00EC4711">
        <w:rPr>
          <w:rFonts w:asciiTheme="majorBidi" w:hAnsiTheme="majorBidi" w:cstheme="majorBidi"/>
          <w:sz w:val="24"/>
          <w:szCs w:val="24"/>
        </w:rPr>
        <w:t>sème 3</w:t>
      </w:r>
      <w:r w:rsidR="00EC4711">
        <w:rPr>
          <w:rFonts w:asciiTheme="majorBidi" w:hAnsiTheme="majorBidi" w:cstheme="majorBidi"/>
          <w:sz w:val="24"/>
          <w:szCs w:val="24"/>
        </w:rPr>
        <w:t xml:space="preserve">  </w:t>
      </w:r>
    </w:p>
    <w:tbl>
      <w:tblPr>
        <w:tblStyle w:val="Grilledutableau"/>
        <w:tblW w:w="0" w:type="auto"/>
        <w:tblLook w:val="04A0"/>
      </w:tblPr>
      <w:tblGrid>
        <w:gridCol w:w="2373"/>
        <w:gridCol w:w="2374"/>
        <w:gridCol w:w="2374"/>
        <w:gridCol w:w="2374"/>
      </w:tblGrid>
      <w:tr w:rsidR="003C2156" w:rsidTr="003C2156">
        <w:trPr>
          <w:trHeight w:val="730"/>
        </w:trPr>
        <w:tc>
          <w:tcPr>
            <w:tcW w:w="2373" w:type="dxa"/>
          </w:tcPr>
          <w:p w:rsidR="003C2156" w:rsidRDefault="00822F2B" w:rsidP="003C2156">
            <w:pPr>
              <w:tabs>
                <w:tab w:val="right" w:pos="2157"/>
              </w:tabs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42.3pt;margin-top:6.9pt;width:66.75pt;height:4.5pt;flip:y;z-index:251662336" o:connectortype="straight">
                  <v:stroke endarrow="block"/>
                </v:shape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shape id="_x0000_s1026" type="#_x0000_t32" style="position:absolute;left:0;text-align:left;margin-left:.3pt;margin-top:11.4pt;width:112.5pt;height:30.75pt;flip:x;z-index:251658240" o:connectortype="straight"/>
              </w:pict>
            </w:r>
            <w:r w:rsidR="003C2156">
              <w:rPr>
                <w:rFonts w:asciiTheme="majorBidi" w:hAnsiTheme="majorBidi" w:cstheme="majorBidi"/>
                <w:sz w:val="24"/>
                <w:szCs w:val="24"/>
              </w:rPr>
              <w:t xml:space="preserve">sèmes </w:t>
            </w:r>
            <w:r w:rsidR="003C2156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:rsidR="003C2156" w:rsidRDefault="00822F2B" w:rsidP="003C2156">
            <w:pPr>
              <w:tabs>
                <w:tab w:val="right" w:pos="2157"/>
              </w:tabs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shape id="_x0000_s1028" type="#_x0000_t32" style="position:absolute;left:0;text-align:left;margin-left:61.8pt;margin-top:15.45pt;width:0;height:7.5pt;z-index:251660288" o:connectortype="straight">
                  <v:stroke endarrow="block"/>
                </v:shape>
              </w:pict>
            </w:r>
            <w:r w:rsidR="00EC4711">
              <w:rPr>
                <w:rFonts w:asciiTheme="majorBidi" w:hAnsiTheme="majorBidi" w:cstheme="majorBidi"/>
                <w:sz w:val="24"/>
                <w:szCs w:val="24"/>
              </w:rPr>
              <w:t xml:space="preserve">             </w:t>
            </w:r>
            <w:r w:rsidR="003C2156">
              <w:rPr>
                <w:rFonts w:asciiTheme="majorBidi" w:hAnsiTheme="majorBidi" w:cstheme="majorBidi"/>
                <w:sz w:val="24"/>
                <w:szCs w:val="24"/>
              </w:rPr>
              <w:t>sémème</w:t>
            </w:r>
            <w:r w:rsidR="00EC4711"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  <w:tc>
          <w:tcPr>
            <w:tcW w:w="2374" w:type="dxa"/>
          </w:tcPr>
          <w:p w:rsidR="003C2156" w:rsidRDefault="003C2156" w:rsidP="003C2156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Objet inanimé </w:t>
            </w:r>
          </w:p>
          <w:p w:rsidR="003C2156" w:rsidRDefault="003C2156" w:rsidP="003C2156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(porte, fenêtre) </w:t>
            </w:r>
          </w:p>
        </w:tc>
        <w:tc>
          <w:tcPr>
            <w:tcW w:w="2374" w:type="dxa"/>
          </w:tcPr>
          <w:p w:rsidR="003C2156" w:rsidRDefault="003C2156" w:rsidP="003C2156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Objet animé</w:t>
            </w:r>
          </w:p>
          <w:p w:rsidR="003C2156" w:rsidRDefault="003C2156" w:rsidP="003C2156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Les yeux, la bouche</w:t>
            </w:r>
          </w:p>
        </w:tc>
        <w:tc>
          <w:tcPr>
            <w:tcW w:w="2374" w:type="dxa"/>
          </w:tcPr>
          <w:p w:rsidR="003C2156" w:rsidRDefault="003C2156" w:rsidP="00EC4711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Le </w:t>
            </w:r>
            <w:r w:rsidR="00EC4711">
              <w:rPr>
                <w:rFonts w:asciiTheme="majorBidi" w:hAnsiTheme="majorBidi" w:cstheme="majorBidi"/>
                <w:sz w:val="24"/>
                <w:szCs w:val="24"/>
              </w:rPr>
              <w:t xml:space="preserve">téléphone potable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3C2156" w:rsidTr="003C2156">
        <w:tc>
          <w:tcPr>
            <w:tcW w:w="2373" w:type="dxa"/>
          </w:tcPr>
          <w:p w:rsidR="003C2156" w:rsidRDefault="003C2156" w:rsidP="003C2156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Fermer </w:t>
            </w:r>
          </w:p>
        </w:tc>
        <w:tc>
          <w:tcPr>
            <w:tcW w:w="2374" w:type="dxa"/>
          </w:tcPr>
          <w:p w:rsidR="003C2156" w:rsidRPr="00EC4711" w:rsidRDefault="00EC4711" w:rsidP="00EC4711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4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374" w:type="dxa"/>
          </w:tcPr>
          <w:p w:rsidR="003C2156" w:rsidRPr="00EC4711" w:rsidRDefault="00EC4711" w:rsidP="00EC4711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4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374" w:type="dxa"/>
          </w:tcPr>
          <w:p w:rsidR="003C2156" w:rsidRPr="00EC4711" w:rsidRDefault="00EC4711" w:rsidP="00EC4711">
            <w:pPr>
              <w:pStyle w:val="Paragraphedeliste"/>
              <w:spacing w:after="120"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4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</w:tr>
      <w:tr w:rsidR="003C2156" w:rsidTr="003C2156">
        <w:tc>
          <w:tcPr>
            <w:tcW w:w="2373" w:type="dxa"/>
          </w:tcPr>
          <w:p w:rsidR="003C2156" w:rsidRDefault="003C2156" w:rsidP="003C2156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Verrouiller </w:t>
            </w:r>
          </w:p>
        </w:tc>
        <w:tc>
          <w:tcPr>
            <w:tcW w:w="2374" w:type="dxa"/>
          </w:tcPr>
          <w:p w:rsidR="003C2156" w:rsidRPr="00EC4711" w:rsidRDefault="00EC4711" w:rsidP="00EC4711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4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374" w:type="dxa"/>
          </w:tcPr>
          <w:p w:rsidR="003C2156" w:rsidRPr="00EC4711" w:rsidRDefault="00EC4711" w:rsidP="00EC4711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471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74" w:type="dxa"/>
          </w:tcPr>
          <w:p w:rsidR="003C2156" w:rsidRPr="00EC4711" w:rsidRDefault="00EC4711" w:rsidP="003C2156">
            <w:pPr>
              <w:spacing w:after="120"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</w:t>
            </w:r>
            <w:r w:rsidRPr="00EC47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</w:p>
        </w:tc>
      </w:tr>
    </w:tbl>
    <w:p w:rsidR="00356A46" w:rsidRPr="00356A46" w:rsidRDefault="003C2156" w:rsidP="00356A46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56A46">
        <w:rPr>
          <w:rFonts w:asciiTheme="majorBidi" w:hAnsiTheme="majorBidi" w:cstheme="majorBidi"/>
          <w:sz w:val="24"/>
          <w:szCs w:val="24"/>
        </w:rPr>
        <w:t xml:space="preserve">Sèmes communs : S1,   </w:t>
      </w:r>
      <w:r w:rsidR="00356A46" w:rsidRPr="00356A46">
        <w:rPr>
          <w:rFonts w:asciiTheme="majorBidi" w:hAnsiTheme="majorBidi" w:cstheme="majorBidi"/>
          <w:sz w:val="24"/>
          <w:szCs w:val="24"/>
        </w:rPr>
        <w:t>Sèmes distinctifs : S2,</w:t>
      </w:r>
      <w:r w:rsidR="00356A46">
        <w:rPr>
          <w:rFonts w:asciiTheme="majorBidi" w:hAnsiTheme="majorBidi" w:cstheme="majorBidi"/>
          <w:sz w:val="24"/>
          <w:szCs w:val="24"/>
        </w:rPr>
        <w:t xml:space="preserve"> </w:t>
      </w:r>
      <w:r w:rsidR="00356A46" w:rsidRPr="00356A46">
        <w:rPr>
          <w:rFonts w:asciiTheme="majorBidi" w:hAnsiTheme="majorBidi" w:cstheme="majorBidi"/>
          <w:sz w:val="24"/>
          <w:szCs w:val="24"/>
        </w:rPr>
        <w:t>S3.</w:t>
      </w:r>
      <w:r w:rsidR="00356A46">
        <w:rPr>
          <w:rFonts w:asciiTheme="majorBidi" w:hAnsiTheme="majorBidi" w:cstheme="majorBidi"/>
          <w:sz w:val="24"/>
          <w:szCs w:val="24"/>
        </w:rPr>
        <w:t xml:space="preserve"> </w:t>
      </w:r>
      <w:r w:rsidR="00356A46" w:rsidRPr="00356A46">
        <w:rPr>
          <w:rFonts w:asciiTheme="majorBidi" w:hAnsiTheme="majorBidi" w:cstheme="majorBidi"/>
          <w:sz w:val="24"/>
          <w:szCs w:val="24"/>
        </w:rPr>
        <w:t xml:space="preserve"> </w:t>
      </w:r>
    </w:p>
    <w:p w:rsidR="00EC4711" w:rsidRDefault="00EC4711" w:rsidP="003C2156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« Fermer » et « verrouiller » ne sont pas alors des synonymes absolus/parfaits, les sèmes 2 et 3 permettent de différencier entre eux : ils sont donc des parasynonymes. </w:t>
      </w:r>
    </w:p>
    <w:p w:rsidR="00EC4711" w:rsidRDefault="00EC4711" w:rsidP="00EC4711">
      <w:pPr>
        <w:pStyle w:val="Paragraphedeliste"/>
        <w:numPr>
          <w:ilvl w:val="0"/>
          <w:numId w:val="1"/>
        </w:num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Tuer /abattre </w:t>
      </w:r>
    </w:p>
    <w:p w:rsidR="00EC4711" w:rsidRDefault="00EC4711" w:rsidP="00EC4711">
      <w:pPr>
        <w:pStyle w:val="Paragraphedeliste"/>
        <w:tabs>
          <w:tab w:val="left" w:pos="8325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Sème1                    sème2</w:t>
      </w:r>
      <w:r w:rsidRPr="00EC471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          sème3                      sème4</w:t>
      </w:r>
    </w:p>
    <w:tbl>
      <w:tblPr>
        <w:tblStyle w:val="Grilledutableau"/>
        <w:tblW w:w="0" w:type="auto"/>
        <w:tblLook w:val="04A0"/>
      </w:tblPr>
      <w:tblGrid>
        <w:gridCol w:w="1899"/>
        <w:gridCol w:w="1899"/>
        <w:gridCol w:w="1899"/>
        <w:gridCol w:w="1899"/>
        <w:gridCol w:w="1899"/>
      </w:tblGrid>
      <w:tr w:rsidR="00EC4711" w:rsidTr="00EC4711">
        <w:trPr>
          <w:trHeight w:val="1129"/>
        </w:trPr>
        <w:tc>
          <w:tcPr>
            <w:tcW w:w="1899" w:type="dxa"/>
          </w:tcPr>
          <w:p w:rsidR="00EC4711" w:rsidRDefault="00822F2B" w:rsidP="00EC4711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shape id="_x0000_s1029" type="#_x0000_t32" style="position:absolute;left:0;text-align:left;margin-left:-7.2pt;margin-top:11.85pt;width:93pt;height:27pt;flip:x;z-index:251661312" o:connectortype="straight"/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shape id="_x0000_s1027" type="#_x0000_t32" style="position:absolute;left:0;text-align:left;margin-left:29.55pt;margin-top:3.6pt;width:66.75pt;height:4.5pt;flip:y;z-index:251659264" o:connectortype="straight">
                  <v:stroke endarrow="block"/>
                </v:shape>
              </w:pict>
            </w:r>
            <w:r w:rsidR="00EC4711">
              <w:rPr>
                <w:rFonts w:asciiTheme="majorBidi" w:hAnsiTheme="majorBidi" w:cstheme="majorBidi"/>
                <w:sz w:val="24"/>
                <w:szCs w:val="24"/>
              </w:rPr>
              <w:t>sèmes</w:t>
            </w:r>
          </w:p>
          <w:p w:rsidR="00EC4711" w:rsidRPr="00EC4711" w:rsidRDefault="00822F2B" w:rsidP="00EC47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shape id="_x0000_s1031" type="#_x0000_t32" style="position:absolute;left:0;text-align:left;margin-left:42.3pt;margin-top:12.15pt;width:0;height:11.25pt;z-index:251663360" o:connectortype="straight">
                  <v:stroke endarrow="block"/>
                </v:shape>
              </w:pict>
            </w:r>
            <w:r w:rsidR="00EC4711">
              <w:rPr>
                <w:rFonts w:asciiTheme="majorBidi" w:hAnsiTheme="majorBidi" w:cstheme="majorBidi"/>
                <w:sz w:val="24"/>
                <w:szCs w:val="24"/>
              </w:rPr>
              <w:t>sémèmes</w:t>
            </w:r>
          </w:p>
        </w:tc>
        <w:tc>
          <w:tcPr>
            <w:tcW w:w="1899" w:type="dxa"/>
          </w:tcPr>
          <w:p w:rsidR="00EC4711" w:rsidRDefault="00EC4711" w:rsidP="00EC4711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</w:p>
          <w:p w:rsidR="00EC4711" w:rsidRDefault="00EC4711" w:rsidP="00EC4711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Une personne </w:t>
            </w:r>
          </w:p>
        </w:tc>
        <w:tc>
          <w:tcPr>
            <w:tcW w:w="1899" w:type="dxa"/>
          </w:tcPr>
          <w:p w:rsidR="00EC4711" w:rsidRDefault="00EC4711" w:rsidP="00EC4711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4711" w:rsidRDefault="00EC4711" w:rsidP="00EC4711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Animal </w:t>
            </w:r>
          </w:p>
        </w:tc>
        <w:tc>
          <w:tcPr>
            <w:tcW w:w="1899" w:type="dxa"/>
          </w:tcPr>
          <w:p w:rsidR="00EC4711" w:rsidRDefault="00356A46" w:rsidP="00EC4711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Une chose (arbre) </w:t>
            </w:r>
          </w:p>
        </w:tc>
        <w:tc>
          <w:tcPr>
            <w:tcW w:w="1899" w:type="dxa"/>
          </w:tcPr>
          <w:p w:rsidR="00356A46" w:rsidRDefault="00356A46" w:rsidP="00EC4711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4711" w:rsidRDefault="00356A46" w:rsidP="00EC4711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Le temps </w:t>
            </w:r>
          </w:p>
        </w:tc>
      </w:tr>
      <w:tr w:rsidR="00EC4711" w:rsidTr="00EC4711">
        <w:tc>
          <w:tcPr>
            <w:tcW w:w="1899" w:type="dxa"/>
          </w:tcPr>
          <w:p w:rsidR="00EC4711" w:rsidRDefault="00EC4711" w:rsidP="00EC4711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Tuer </w:t>
            </w:r>
          </w:p>
        </w:tc>
        <w:tc>
          <w:tcPr>
            <w:tcW w:w="1899" w:type="dxa"/>
          </w:tcPr>
          <w:p w:rsidR="00EC4711" w:rsidRPr="00356A46" w:rsidRDefault="00356A46" w:rsidP="00356A46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6A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899" w:type="dxa"/>
          </w:tcPr>
          <w:p w:rsidR="00EC4711" w:rsidRPr="00356A46" w:rsidRDefault="00356A46" w:rsidP="00356A46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6A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99" w:type="dxa"/>
          </w:tcPr>
          <w:p w:rsidR="00EC4711" w:rsidRDefault="00356A46" w:rsidP="00356A46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899" w:type="dxa"/>
          </w:tcPr>
          <w:p w:rsidR="00EC4711" w:rsidRDefault="00356A46" w:rsidP="00356A46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+</w:t>
            </w:r>
          </w:p>
        </w:tc>
      </w:tr>
      <w:tr w:rsidR="00EC4711" w:rsidTr="00EC4711">
        <w:tc>
          <w:tcPr>
            <w:tcW w:w="1899" w:type="dxa"/>
          </w:tcPr>
          <w:p w:rsidR="00EC4711" w:rsidRDefault="00EC4711" w:rsidP="00EC4711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Abattre </w:t>
            </w:r>
          </w:p>
        </w:tc>
        <w:tc>
          <w:tcPr>
            <w:tcW w:w="1899" w:type="dxa"/>
          </w:tcPr>
          <w:p w:rsidR="00EC4711" w:rsidRDefault="00356A46" w:rsidP="00356A46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+</w:t>
            </w:r>
          </w:p>
        </w:tc>
        <w:tc>
          <w:tcPr>
            <w:tcW w:w="1899" w:type="dxa"/>
          </w:tcPr>
          <w:p w:rsidR="00EC4711" w:rsidRDefault="00356A46" w:rsidP="00356A46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+</w:t>
            </w:r>
          </w:p>
        </w:tc>
        <w:tc>
          <w:tcPr>
            <w:tcW w:w="1899" w:type="dxa"/>
          </w:tcPr>
          <w:p w:rsidR="00EC4711" w:rsidRDefault="00356A46" w:rsidP="00356A46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+</w:t>
            </w:r>
          </w:p>
        </w:tc>
        <w:tc>
          <w:tcPr>
            <w:tcW w:w="1899" w:type="dxa"/>
          </w:tcPr>
          <w:p w:rsidR="00EC4711" w:rsidRDefault="00356A46" w:rsidP="00356A46">
            <w:pPr>
              <w:spacing w:after="12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:rsidR="0077272A" w:rsidRDefault="00356A46" w:rsidP="0077272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Sèmes communs : S1,   </w:t>
      </w:r>
      <w:r w:rsidRPr="00356A46">
        <w:rPr>
          <w:rFonts w:asciiTheme="majorBidi" w:hAnsiTheme="majorBidi" w:cstheme="majorBidi"/>
          <w:sz w:val="24"/>
          <w:szCs w:val="24"/>
        </w:rPr>
        <w:t>Sèmes distinctifs : S2,S3,S4. Ils sont synonymes par une</w:t>
      </w:r>
      <w:r>
        <w:rPr>
          <w:rFonts w:asciiTheme="majorBidi" w:hAnsiTheme="majorBidi" w:cstheme="majorBidi"/>
          <w:sz w:val="24"/>
          <w:szCs w:val="24"/>
        </w:rPr>
        <w:t xml:space="preserve"> (sème1)</w:t>
      </w:r>
      <w:r w:rsidRPr="00356A46">
        <w:rPr>
          <w:rFonts w:asciiTheme="majorBidi" w:hAnsiTheme="majorBidi" w:cstheme="majorBidi"/>
          <w:sz w:val="24"/>
          <w:szCs w:val="24"/>
        </w:rPr>
        <w:t xml:space="preserve"> de leurs </w:t>
      </w:r>
      <w:r w:rsidR="0077272A">
        <w:rPr>
          <w:rFonts w:asciiTheme="majorBidi" w:hAnsiTheme="majorBidi" w:cstheme="majorBidi"/>
          <w:sz w:val="24"/>
          <w:szCs w:val="24"/>
        </w:rPr>
        <w:t>acceptions.</w:t>
      </w:r>
    </w:p>
    <w:p w:rsidR="0077272A" w:rsidRDefault="0077272A" w:rsidP="0077272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7272A" w:rsidRDefault="0077272A" w:rsidP="0077272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7272A" w:rsidRDefault="0077272A" w:rsidP="0077272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7272A" w:rsidRDefault="0077272A" w:rsidP="0077272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7272A" w:rsidRPr="00356A46" w:rsidRDefault="0077272A" w:rsidP="0077272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317F5" w:rsidRPr="00AA0489" w:rsidRDefault="0077272A" w:rsidP="00AA0489">
      <w:pPr>
        <w:pStyle w:val="Paragraphedeliste"/>
        <w:numPr>
          <w:ilvl w:val="0"/>
          <w:numId w:val="1"/>
        </w:num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Herbe/plante </w:t>
      </w:r>
    </w:p>
    <w:tbl>
      <w:tblPr>
        <w:tblStyle w:val="Grilledutableau"/>
        <w:tblW w:w="10031" w:type="dxa"/>
        <w:tblLook w:val="04A0"/>
      </w:tblPr>
      <w:tblGrid>
        <w:gridCol w:w="1356"/>
        <w:gridCol w:w="1356"/>
        <w:gridCol w:w="1356"/>
        <w:gridCol w:w="1356"/>
        <w:gridCol w:w="1357"/>
        <w:gridCol w:w="1357"/>
        <w:gridCol w:w="1893"/>
      </w:tblGrid>
      <w:tr w:rsidR="007317F5" w:rsidTr="00AA0489">
        <w:trPr>
          <w:trHeight w:val="1358"/>
        </w:trPr>
        <w:tc>
          <w:tcPr>
            <w:tcW w:w="1356" w:type="dxa"/>
          </w:tcPr>
          <w:p w:rsidR="007317F5" w:rsidRDefault="00822F2B" w:rsidP="007317F5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shape id="_x0000_s1034" type="#_x0000_t32" style="position:absolute;left:0;text-align:left;margin-left:-4.95pt;margin-top:4.8pt;width:65.25pt;height:62.25pt;flip:x;z-index:251667456" o:connectortype="straight"/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shape id="_x0000_s1033" type="#_x0000_t32" style="position:absolute;left:0;text-align:left;margin-left:60.3pt;margin-top:20.3pt;width:435pt;height:.05pt;flip:x;z-index:251665408" o:connectortype="straight"/>
              </w:pict>
            </w:r>
            <w:r w:rsidR="007317F5">
              <w:rPr>
                <w:rFonts w:asciiTheme="majorBidi" w:hAnsiTheme="majorBidi" w:cstheme="majorBidi"/>
                <w:sz w:val="24"/>
                <w:szCs w:val="24"/>
              </w:rPr>
              <w:t xml:space="preserve">sèmes </w:t>
            </w:r>
          </w:p>
          <w:p w:rsidR="00AA0489" w:rsidRDefault="00AA0489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A0489" w:rsidRDefault="00AA0489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317F5" w:rsidRDefault="00AA0489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</w:t>
            </w:r>
            <w:r w:rsidR="007317F5">
              <w:rPr>
                <w:rFonts w:asciiTheme="majorBidi" w:hAnsiTheme="majorBidi" w:cstheme="majorBidi"/>
                <w:sz w:val="24"/>
                <w:szCs w:val="24"/>
              </w:rPr>
              <w:t xml:space="preserve">sémème </w:t>
            </w:r>
          </w:p>
        </w:tc>
        <w:tc>
          <w:tcPr>
            <w:tcW w:w="1356" w:type="dxa"/>
          </w:tcPr>
          <w:p w:rsid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t xml:space="preserve">          propr</w:t>
            </w:r>
          </w:p>
          <w:p w:rsid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317F5" w:rsidRP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S1. Etre vivant</w:t>
            </w:r>
          </w:p>
        </w:tc>
        <w:tc>
          <w:tcPr>
            <w:tcW w:w="1356" w:type="dxa"/>
          </w:tcPr>
          <w:p w:rsid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iétés</w:t>
            </w:r>
          </w:p>
          <w:p w:rsid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317F5" w:rsidRP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S2. Végétal</w:t>
            </w:r>
          </w:p>
        </w:tc>
        <w:tc>
          <w:tcPr>
            <w:tcW w:w="1356" w:type="dxa"/>
          </w:tcPr>
          <w:p w:rsid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Mode</w:t>
            </w:r>
          </w:p>
          <w:p w:rsid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317F5" w:rsidRP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S3. Terrestre</w:t>
            </w:r>
          </w:p>
        </w:tc>
        <w:tc>
          <w:tcPr>
            <w:tcW w:w="1357" w:type="dxa"/>
          </w:tcPr>
          <w:p w:rsidR="007317F5" w:rsidRDefault="007317F5" w:rsidP="007317F5">
            <w:pPr>
              <w:spacing w:after="12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 vie </w:t>
            </w:r>
          </w:p>
          <w:p w:rsid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S4. Aquatique</w:t>
            </w:r>
          </w:p>
        </w:tc>
        <w:tc>
          <w:tcPr>
            <w:tcW w:w="1357" w:type="dxa"/>
          </w:tcPr>
          <w:p w:rsid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Uti</w:t>
            </w:r>
          </w:p>
          <w:p w:rsid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317F5" w:rsidRP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S5. Comestible</w:t>
            </w:r>
            <w:r w:rsidR="00AA0489">
              <w:rPr>
                <w:rFonts w:asciiTheme="majorBidi" w:hAnsiTheme="majorBidi" w:cstheme="majorBidi"/>
                <w:sz w:val="24"/>
                <w:szCs w:val="24"/>
              </w:rPr>
              <w:t xml:space="preserve"> (pour l’homme)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893" w:type="dxa"/>
          </w:tcPr>
          <w:p w:rsid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lité</w:t>
            </w:r>
          </w:p>
          <w:p w:rsid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A0489" w:rsidRDefault="007317F5" w:rsidP="007317F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S6. Non comestible</w:t>
            </w:r>
          </w:p>
          <w:p w:rsidR="007317F5" w:rsidRPr="00AA0489" w:rsidRDefault="00AA0489" w:rsidP="00AA04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(Pour l’animal)</w:t>
            </w:r>
          </w:p>
        </w:tc>
      </w:tr>
      <w:tr w:rsidR="007317F5" w:rsidTr="00AA0489">
        <w:trPr>
          <w:trHeight w:val="555"/>
        </w:trPr>
        <w:tc>
          <w:tcPr>
            <w:tcW w:w="1356" w:type="dxa"/>
          </w:tcPr>
          <w:p w:rsid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317F5" w:rsidRP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Herbe </w:t>
            </w:r>
          </w:p>
        </w:tc>
        <w:tc>
          <w:tcPr>
            <w:tcW w:w="1356" w:type="dxa"/>
          </w:tcPr>
          <w:p w:rsidR="007317F5" w:rsidRDefault="00AA0489" w:rsidP="007317F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+</w:t>
            </w:r>
          </w:p>
          <w:p w:rsidR="007317F5" w:rsidRPr="007317F5" w:rsidRDefault="007317F5" w:rsidP="007317F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6" w:type="dxa"/>
          </w:tcPr>
          <w:p w:rsidR="007317F5" w:rsidRDefault="00AA0489" w:rsidP="00AA04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+</w:t>
            </w:r>
          </w:p>
        </w:tc>
        <w:tc>
          <w:tcPr>
            <w:tcW w:w="1356" w:type="dxa"/>
          </w:tcPr>
          <w:p w:rsidR="007317F5" w:rsidRDefault="00AA0489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+</w:t>
            </w:r>
          </w:p>
        </w:tc>
        <w:tc>
          <w:tcPr>
            <w:tcW w:w="1357" w:type="dxa"/>
          </w:tcPr>
          <w:p w:rsidR="007317F5" w:rsidRDefault="00AA0489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+</w:t>
            </w:r>
          </w:p>
        </w:tc>
        <w:tc>
          <w:tcPr>
            <w:tcW w:w="1357" w:type="dxa"/>
          </w:tcPr>
          <w:p w:rsidR="007317F5" w:rsidRDefault="00AA0489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-</w:t>
            </w:r>
          </w:p>
        </w:tc>
        <w:tc>
          <w:tcPr>
            <w:tcW w:w="1893" w:type="dxa"/>
          </w:tcPr>
          <w:p w:rsidR="007317F5" w:rsidRDefault="00AA0489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+</w:t>
            </w:r>
          </w:p>
        </w:tc>
      </w:tr>
      <w:tr w:rsidR="007317F5" w:rsidTr="00AA0489">
        <w:trPr>
          <w:trHeight w:val="549"/>
        </w:trPr>
        <w:tc>
          <w:tcPr>
            <w:tcW w:w="1356" w:type="dxa"/>
          </w:tcPr>
          <w:p w:rsid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Plante </w:t>
            </w:r>
          </w:p>
        </w:tc>
        <w:tc>
          <w:tcPr>
            <w:tcW w:w="1356" w:type="dxa"/>
          </w:tcPr>
          <w:p w:rsidR="007317F5" w:rsidRDefault="00AA0489" w:rsidP="00AA048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+</w:t>
            </w:r>
          </w:p>
          <w:p w:rsidR="007317F5" w:rsidRPr="007317F5" w:rsidRDefault="007317F5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6" w:type="dxa"/>
          </w:tcPr>
          <w:p w:rsidR="007317F5" w:rsidRDefault="00AA0489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+</w:t>
            </w:r>
          </w:p>
        </w:tc>
        <w:tc>
          <w:tcPr>
            <w:tcW w:w="1356" w:type="dxa"/>
          </w:tcPr>
          <w:p w:rsidR="007317F5" w:rsidRDefault="00AA0489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+</w:t>
            </w:r>
          </w:p>
        </w:tc>
        <w:tc>
          <w:tcPr>
            <w:tcW w:w="1357" w:type="dxa"/>
          </w:tcPr>
          <w:p w:rsidR="007317F5" w:rsidRDefault="00AA0489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-</w:t>
            </w:r>
          </w:p>
        </w:tc>
        <w:tc>
          <w:tcPr>
            <w:tcW w:w="1357" w:type="dxa"/>
          </w:tcPr>
          <w:p w:rsidR="007317F5" w:rsidRDefault="00AA0489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+</w:t>
            </w:r>
          </w:p>
        </w:tc>
        <w:tc>
          <w:tcPr>
            <w:tcW w:w="1893" w:type="dxa"/>
          </w:tcPr>
          <w:p w:rsidR="007317F5" w:rsidRDefault="00AA0489" w:rsidP="007317F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+</w:t>
            </w:r>
          </w:p>
        </w:tc>
      </w:tr>
    </w:tbl>
    <w:p w:rsidR="00AA0489" w:rsidRDefault="00AA0489" w:rsidP="00AA0489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860B24" w:rsidRDefault="00AA0489" w:rsidP="00860B24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A0489">
        <w:rPr>
          <w:rFonts w:asciiTheme="majorBidi" w:hAnsiTheme="majorBidi" w:cstheme="majorBidi"/>
          <w:sz w:val="24"/>
          <w:szCs w:val="24"/>
          <w:lang w:val="en-US"/>
        </w:rPr>
        <w:t xml:space="preserve">Sèmes communs : S1, S2, S3, S6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///   </w:t>
      </w:r>
      <w:r w:rsidRPr="00AA0489">
        <w:rPr>
          <w:rFonts w:asciiTheme="majorBidi" w:hAnsiTheme="majorBidi" w:cstheme="majorBidi"/>
          <w:sz w:val="24"/>
          <w:szCs w:val="24"/>
          <w:lang w:val="en-US"/>
        </w:rPr>
        <w:t xml:space="preserve">Sèmes distinctifs : S4, S5.  </w:t>
      </w:r>
    </w:p>
    <w:p w:rsidR="00860B24" w:rsidRDefault="00860B24" w:rsidP="00860B24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860B24" w:rsidRDefault="00860B24" w:rsidP="00860B24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EE7447" w:rsidRDefault="00EE7447" w:rsidP="00860B24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</w:p>
    <w:sectPr w:rsidR="00EE7447" w:rsidSect="0077272A">
      <w:footerReference w:type="default" r:id="rId7"/>
      <w:pgSz w:w="11906" w:h="16838"/>
      <w:pgMar w:top="851" w:right="141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3D3" w:rsidRDefault="008E73D3" w:rsidP="0077272A">
      <w:pPr>
        <w:spacing w:after="0" w:line="240" w:lineRule="auto"/>
      </w:pPr>
      <w:r>
        <w:separator/>
      </w:r>
    </w:p>
  </w:endnote>
  <w:endnote w:type="continuationSeparator" w:id="1">
    <w:p w:rsidR="008E73D3" w:rsidRDefault="008E73D3" w:rsidP="0077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229596"/>
      <w:docPartObj>
        <w:docPartGallery w:val="Page Numbers (Bottom of Page)"/>
        <w:docPartUnique/>
      </w:docPartObj>
    </w:sdtPr>
    <w:sdtContent>
      <w:p w:rsidR="0077272A" w:rsidRDefault="00822F2B">
        <w:pPr>
          <w:pStyle w:val="Pieddepage"/>
          <w:jc w:val="center"/>
        </w:pPr>
        <w:fldSimple w:instr=" PAGE   \* MERGEFORMAT ">
          <w:r w:rsidR="008E73D3">
            <w:rPr>
              <w:noProof/>
            </w:rPr>
            <w:t>1</w:t>
          </w:r>
        </w:fldSimple>
      </w:p>
    </w:sdtContent>
  </w:sdt>
  <w:p w:rsidR="0077272A" w:rsidRDefault="0077272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3D3" w:rsidRDefault="008E73D3" w:rsidP="0077272A">
      <w:pPr>
        <w:spacing w:after="0" w:line="240" w:lineRule="auto"/>
      </w:pPr>
      <w:r>
        <w:separator/>
      </w:r>
    </w:p>
  </w:footnote>
  <w:footnote w:type="continuationSeparator" w:id="1">
    <w:p w:rsidR="008E73D3" w:rsidRDefault="008E73D3" w:rsidP="00772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51C8D"/>
    <w:multiLevelType w:val="hybridMultilevel"/>
    <w:tmpl w:val="146A7244"/>
    <w:lvl w:ilvl="0" w:tplc="188AAE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8450A"/>
    <w:rsid w:val="00095629"/>
    <w:rsid w:val="000B2C59"/>
    <w:rsid w:val="00201996"/>
    <w:rsid w:val="002A0280"/>
    <w:rsid w:val="00356A46"/>
    <w:rsid w:val="003C2156"/>
    <w:rsid w:val="003F5A80"/>
    <w:rsid w:val="00477E8A"/>
    <w:rsid w:val="004C631D"/>
    <w:rsid w:val="005565A2"/>
    <w:rsid w:val="005607D3"/>
    <w:rsid w:val="00593FA0"/>
    <w:rsid w:val="007317F5"/>
    <w:rsid w:val="0077272A"/>
    <w:rsid w:val="0078450A"/>
    <w:rsid w:val="007A29B9"/>
    <w:rsid w:val="00822F2B"/>
    <w:rsid w:val="00860B24"/>
    <w:rsid w:val="008672C6"/>
    <w:rsid w:val="008D145B"/>
    <w:rsid w:val="008E73D3"/>
    <w:rsid w:val="00A24B08"/>
    <w:rsid w:val="00AA0489"/>
    <w:rsid w:val="00C31A9A"/>
    <w:rsid w:val="00D06E65"/>
    <w:rsid w:val="00DC6529"/>
    <w:rsid w:val="00DF3C3C"/>
    <w:rsid w:val="00E31B5E"/>
    <w:rsid w:val="00E51F92"/>
    <w:rsid w:val="00EC4711"/>
    <w:rsid w:val="00ED46E5"/>
    <w:rsid w:val="00EE7447"/>
    <w:rsid w:val="00F11E50"/>
    <w:rsid w:val="00F315B6"/>
    <w:rsid w:val="00F93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9" type="connector" idref="#_x0000_s1034"/>
        <o:r id="V:Rule10" type="connector" idref="#_x0000_s1033"/>
        <o:r id="V:Rule11" type="connector" idref="#_x0000_s1030"/>
        <o:r id="V:Rule12" type="connector" idref="#_x0000_s1027"/>
        <o:r id="V:Rule13" type="connector" idref="#_x0000_s1031"/>
        <o:r id="V:Rule14" type="connector" idref="#_x0000_s1028"/>
        <o:r id="V:Rule15" type="connector" idref="#_x0000_s1029"/>
        <o:r id="V:Rule1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1E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9562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72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7272A"/>
  </w:style>
  <w:style w:type="paragraph" w:styleId="Pieddepage">
    <w:name w:val="footer"/>
    <w:basedOn w:val="Normal"/>
    <w:link w:val="PieddepageCar"/>
    <w:uiPriority w:val="99"/>
    <w:unhideWhenUsed/>
    <w:rsid w:val="00772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27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648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dcterms:created xsi:type="dcterms:W3CDTF">2022-04-12T13:03:00Z</dcterms:created>
  <dcterms:modified xsi:type="dcterms:W3CDTF">2023-04-09T00:50:00Z</dcterms:modified>
</cp:coreProperties>
</file>