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707" w:rsidRPr="0004059D" w:rsidRDefault="007D6707" w:rsidP="007D6707">
      <w:pPr>
        <w:bidi/>
        <w:spacing w:after="160" w:line="240" w:lineRule="auto"/>
        <w:jc w:val="both"/>
        <w:rPr>
          <w:rFonts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</w:pPr>
      <w:r w:rsidRPr="0004059D"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  <w:lang w:bidi="ar-DZ"/>
        </w:rPr>
        <w:t>المحاضرة السادسة</w:t>
      </w:r>
    </w:p>
    <w:p w:rsidR="007D6707" w:rsidRDefault="007D6707" w:rsidP="007D6707">
      <w:pPr>
        <w:tabs>
          <w:tab w:val="left" w:pos="1002"/>
          <w:tab w:val="center" w:pos="4896"/>
        </w:tabs>
        <w:bidi/>
        <w:spacing w:after="160" w:line="240" w:lineRule="auto"/>
        <w:ind w:left="720"/>
        <w:rPr>
          <w:rFonts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  <w:tab/>
      </w:r>
      <w:r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  <w:tab/>
      </w:r>
      <w:r w:rsidRPr="00AD4725"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  <w:lang w:bidi="ar-DZ"/>
        </w:rPr>
        <w:t>إن وأخواتها</w:t>
      </w:r>
    </w:p>
    <w:p w:rsidR="007D6707" w:rsidRDefault="007D6707" w:rsidP="007D6707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    إنّ</w:t>
      </w:r>
      <w:r>
        <w:rPr>
          <w:rStyle w:val="Appelnotedebasdep"/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footnoteReference w:id="1"/>
      </w: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وأخواتها حروف ناسخة، أي تدخل على المبتدأ والخبر فتنصب الأول ويسمى اسمها وترفع الثاني ويسمى خبرها، نحو اللهُ كريمٌ </w:t>
      </w:r>
      <w:r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t>–</w:t>
      </w: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إن اللهَ كريمٌ، الدينُ يسرٌ- إن الدينَ يسرٌ، ومن أخوات (إنّ): كأنّ، لكنّ، ليت، لعلّ</w:t>
      </w:r>
      <w:r>
        <w:rPr>
          <w:rStyle w:val="Appelnotedebasdep"/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footnoteReference w:id="2"/>
      </w: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، وكلها تعمل عمل (إن)، فتنصب المبتدأ، وترفع الخبر.</w:t>
      </w:r>
    </w:p>
    <w:p w:rsidR="007D6707" w:rsidRDefault="007D6707" w:rsidP="007D6707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نحو:-</w:t>
      </w:r>
      <w:proofErr w:type="gramEnd"/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خالد أبوه عالمٌ لكنّ أخاه جاهلٌ</w:t>
      </w:r>
    </w:p>
    <w:p w:rsidR="007D6707" w:rsidRDefault="007D6707" w:rsidP="007D6707">
      <w:pPr>
        <w:pStyle w:val="Paragraphedeliste"/>
        <w:numPr>
          <w:ilvl w:val="0"/>
          <w:numId w:val="1"/>
        </w:num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ليت الكتابَ موجودٌ</w:t>
      </w:r>
    </w:p>
    <w:p w:rsidR="007D6707" w:rsidRDefault="007D6707" w:rsidP="007D6707">
      <w:pPr>
        <w:pStyle w:val="Paragraphedeliste"/>
        <w:numPr>
          <w:ilvl w:val="0"/>
          <w:numId w:val="1"/>
        </w:num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لعلّ أخاك قادمٌ</w:t>
      </w:r>
    </w:p>
    <w:p w:rsidR="007D6707" w:rsidRDefault="007D6707" w:rsidP="007D6707">
      <w:pPr>
        <w:pStyle w:val="Paragraphedeliste"/>
        <w:numPr>
          <w:ilvl w:val="0"/>
          <w:numId w:val="1"/>
        </w:num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كأن الطفلَ رجلٌ</w:t>
      </w:r>
    </w:p>
    <w:p w:rsidR="007D6707" w:rsidRPr="00724A1B" w:rsidRDefault="007D6707" w:rsidP="007D6707">
      <w:pPr>
        <w:bidi/>
        <w:spacing w:after="160" w:line="240" w:lineRule="auto"/>
        <w:rPr>
          <w:rFonts w:ascii="Simplified Arabic" w:hAnsi="Simplified Arabic" w:cs="Simplified Arabic"/>
          <w:color w:val="1D1B11" w:themeColor="background2" w:themeShade="1A"/>
          <w:sz w:val="32"/>
          <w:szCs w:val="32"/>
          <w:lang w:bidi="ar-DZ"/>
        </w:rPr>
      </w:pPr>
      <w:r w:rsidRPr="00724A1B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وتسمى</w:t>
      </w:r>
      <w:r w:rsidRPr="00724A1B">
        <w:rPr>
          <w:sz w:val="32"/>
          <w:szCs w:val="32"/>
          <w:rtl/>
        </w:rPr>
        <w:t xml:space="preserve"> </w:t>
      </w:r>
      <w:r w:rsidRPr="00724A1B">
        <w:rPr>
          <w:color w:val="1D1B11" w:themeColor="background2" w:themeShade="1A"/>
          <w:sz w:val="32"/>
          <w:szCs w:val="32"/>
          <w:rtl/>
        </w:rPr>
        <w:t>أيضا</w:t>
      </w:r>
      <w:r w:rsidRPr="00724A1B">
        <w:rPr>
          <w:color w:val="1D1B11" w:themeColor="background2" w:themeShade="1A"/>
          <w:sz w:val="32"/>
          <w:szCs w:val="32"/>
        </w:rPr>
        <w:t xml:space="preserve"> </w:t>
      </w:r>
      <w:r w:rsidRPr="00724A1B">
        <w:rPr>
          <w:rFonts w:hint="cs"/>
          <w:color w:val="1D1B11" w:themeColor="background2" w:themeShade="1A"/>
          <w:sz w:val="32"/>
          <w:szCs w:val="32"/>
          <w:rtl/>
        </w:rPr>
        <w:t>با</w:t>
      </w:r>
      <w:r w:rsidRPr="00724A1B">
        <w:rPr>
          <w:color w:val="1D1B11" w:themeColor="background2" w:themeShade="1A"/>
          <w:sz w:val="32"/>
          <w:szCs w:val="32"/>
          <w:rtl/>
        </w:rPr>
        <w:t>لحروف المشبهة</w:t>
      </w:r>
      <w:r w:rsidRPr="00724A1B">
        <w:rPr>
          <w:color w:val="1D1B11" w:themeColor="background2" w:themeShade="1A"/>
          <w:sz w:val="32"/>
          <w:szCs w:val="32"/>
        </w:rPr>
        <w:t xml:space="preserve"> </w:t>
      </w:r>
      <w:r w:rsidRPr="00724A1B">
        <w:rPr>
          <w:rFonts w:hint="cs"/>
          <w:color w:val="1D1B11" w:themeColor="background2" w:themeShade="1A"/>
          <w:sz w:val="32"/>
          <w:szCs w:val="32"/>
          <w:rtl/>
        </w:rPr>
        <w:t>با</w:t>
      </w:r>
      <w:r w:rsidRPr="00724A1B">
        <w:rPr>
          <w:color w:val="1D1B11" w:themeColor="background2" w:themeShade="1A"/>
          <w:sz w:val="32"/>
          <w:szCs w:val="32"/>
          <w:rtl/>
        </w:rPr>
        <w:t>لفعل، ووجه الشبه في ذلك هو</w:t>
      </w:r>
      <w:r w:rsidRPr="00724A1B">
        <w:rPr>
          <w:color w:val="1D1B11" w:themeColor="background2" w:themeShade="1A"/>
          <w:sz w:val="32"/>
          <w:szCs w:val="32"/>
        </w:rPr>
        <w:t>:</w:t>
      </w:r>
    </w:p>
    <w:p w:rsidR="007D6707" w:rsidRPr="00724A1B" w:rsidRDefault="007D6707" w:rsidP="007D6707">
      <w:pPr>
        <w:bidi/>
        <w:spacing w:after="160" w:line="240" w:lineRule="auto"/>
        <w:rPr>
          <w:color w:val="1D1B11" w:themeColor="background2" w:themeShade="1A"/>
          <w:sz w:val="32"/>
          <w:szCs w:val="32"/>
          <w:rtl/>
        </w:rPr>
      </w:pPr>
      <w:r w:rsidRPr="00724A1B">
        <w:rPr>
          <w:color w:val="1D1B11" w:themeColor="background2" w:themeShade="1A"/>
          <w:sz w:val="32"/>
          <w:szCs w:val="32"/>
        </w:rPr>
        <w:t xml:space="preserve">- </w:t>
      </w:r>
      <w:r w:rsidRPr="00724A1B">
        <w:rPr>
          <w:rFonts w:hint="cs"/>
          <w:color w:val="1D1B11" w:themeColor="background2" w:themeShade="1A"/>
          <w:sz w:val="32"/>
          <w:szCs w:val="32"/>
          <w:rtl/>
        </w:rPr>
        <w:t xml:space="preserve"> </w:t>
      </w:r>
      <w:r w:rsidRPr="00724A1B">
        <w:rPr>
          <w:color w:val="1D1B11" w:themeColor="background2" w:themeShade="1A"/>
          <w:sz w:val="32"/>
          <w:szCs w:val="32"/>
          <w:rtl/>
        </w:rPr>
        <w:t>بناء أواخرها على الفتح، نظير بناء الأفعال الماضي</w:t>
      </w:r>
      <w:r w:rsidRPr="00724A1B">
        <w:rPr>
          <w:rFonts w:hint="cs"/>
          <w:color w:val="1D1B11" w:themeColor="background2" w:themeShade="1A"/>
          <w:sz w:val="32"/>
          <w:szCs w:val="32"/>
          <w:rtl/>
        </w:rPr>
        <w:t>ة.</w:t>
      </w:r>
    </w:p>
    <w:p w:rsidR="007D6707" w:rsidRPr="00724A1B" w:rsidRDefault="007D6707" w:rsidP="007D6707">
      <w:pPr>
        <w:bidi/>
        <w:spacing w:after="160" w:line="240" w:lineRule="auto"/>
        <w:rPr>
          <w:color w:val="1D1B11" w:themeColor="background2" w:themeShade="1A"/>
          <w:sz w:val="32"/>
          <w:szCs w:val="32"/>
          <w:rtl/>
        </w:rPr>
      </w:pPr>
      <w:r w:rsidRPr="00724A1B">
        <w:rPr>
          <w:rFonts w:hint="cs"/>
          <w:color w:val="1D1B11" w:themeColor="background2" w:themeShade="1A"/>
          <w:sz w:val="32"/>
          <w:szCs w:val="32"/>
          <w:rtl/>
        </w:rPr>
        <w:t xml:space="preserve">- </w:t>
      </w:r>
      <w:r w:rsidRPr="00724A1B">
        <w:rPr>
          <w:color w:val="1D1B11" w:themeColor="background2" w:themeShade="1A"/>
          <w:sz w:val="32"/>
          <w:szCs w:val="32"/>
        </w:rPr>
        <w:t xml:space="preserve"> </w:t>
      </w:r>
      <w:r w:rsidRPr="00724A1B">
        <w:rPr>
          <w:color w:val="1D1B11" w:themeColor="background2" w:themeShade="1A"/>
          <w:sz w:val="32"/>
          <w:szCs w:val="32"/>
          <w:rtl/>
        </w:rPr>
        <w:t>وضع أغلبها على ثلاثة أحرف</w:t>
      </w:r>
      <w:r w:rsidRPr="00724A1B">
        <w:rPr>
          <w:color w:val="1D1B11" w:themeColor="background2" w:themeShade="1A"/>
          <w:sz w:val="32"/>
          <w:szCs w:val="32"/>
        </w:rPr>
        <w:t xml:space="preserve"> </w:t>
      </w:r>
      <w:r w:rsidRPr="00724A1B">
        <w:rPr>
          <w:rFonts w:hint="cs"/>
          <w:color w:val="1D1B11" w:themeColor="background2" w:themeShade="1A"/>
          <w:sz w:val="32"/>
          <w:szCs w:val="32"/>
          <w:rtl/>
        </w:rPr>
        <w:t>.</w:t>
      </w:r>
    </w:p>
    <w:p w:rsidR="007D6707" w:rsidRPr="00724A1B" w:rsidRDefault="007D6707" w:rsidP="007D6707">
      <w:pPr>
        <w:bidi/>
        <w:spacing w:after="160" w:line="240" w:lineRule="auto"/>
        <w:rPr>
          <w:color w:val="1D1B11" w:themeColor="background2" w:themeShade="1A"/>
          <w:sz w:val="32"/>
          <w:szCs w:val="32"/>
          <w:rtl/>
        </w:rPr>
      </w:pPr>
      <w:r w:rsidRPr="00724A1B">
        <w:rPr>
          <w:rFonts w:hint="cs"/>
          <w:color w:val="1D1B11" w:themeColor="background2" w:themeShade="1A"/>
          <w:sz w:val="32"/>
          <w:szCs w:val="32"/>
          <w:rtl/>
        </w:rPr>
        <w:t xml:space="preserve">- </w:t>
      </w:r>
      <w:r w:rsidRPr="00724A1B">
        <w:rPr>
          <w:color w:val="1D1B11" w:themeColor="background2" w:themeShade="1A"/>
          <w:sz w:val="32"/>
          <w:szCs w:val="32"/>
        </w:rPr>
        <w:t xml:space="preserve"> </w:t>
      </w:r>
      <w:r w:rsidRPr="00724A1B">
        <w:rPr>
          <w:color w:val="1D1B11" w:themeColor="background2" w:themeShade="1A"/>
          <w:sz w:val="32"/>
          <w:szCs w:val="32"/>
          <w:rtl/>
        </w:rPr>
        <w:t>حاجتها إلى منصوب ومرفوع، كما يكون ذلك في الفعل</w:t>
      </w:r>
      <w:r w:rsidRPr="00724A1B">
        <w:rPr>
          <w:rFonts w:hint="cs"/>
          <w:color w:val="1D1B11" w:themeColor="background2" w:themeShade="1A"/>
          <w:sz w:val="32"/>
          <w:szCs w:val="32"/>
          <w:rtl/>
        </w:rPr>
        <w:t>.</w:t>
      </w:r>
    </w:p>
    <w:p w:rsidR="007D6707" w:rsidRPr="006D67D1" w:rsidRDefault="007D6707" w:rsidP="006D67D1">
      <w:pPr>
        <w:bidi/>
        <w:spacing w:after="160" w:line="240" w:lineRule="auto"/>
        <w:rPr>
          <w:color w:val="1D1B11" w:themeColor="background2" w:themeShade="1A"/>
          <w:sz w:val="32"/>
          <w:szCs w:val="32"/>
        </w:rPr>
      </w:pPr>
      <w:r w:rsidRPr="00724A1B">
        <w:rPr>
          <w:rFonts w:hint="cs"/>
          <w:color w:val="1D1B11" w:themeColor="background2" w:themeShade="1A"/>
          <w:sz w:val="32"/>
          <w:szCs w:val="32"/>
          <w:rtl/>
        </w:rPr>
        <w:t xml:space="preserve">- </w:t>
      </w:r>
      <w:r w:rsidRPr="00724A1B">
        <w:rPr>
          <w:color w:val="1D1B11" w:themeColor="background2" w:themeShade="1A"/>
          <w:sz w:val="32"/>
          <w:szCs w:val="32"/>
        </w:rPr>
        <w:t xml:space="preserve"> </w:t>
      </w:r>
      <w:r w:rsidRPr="00724A1B">
        <w:rPr>
          <w:color w:val="1D1B11" w:themeColor="background2" w:themeShade="1A"/>
          <w:sz w:val="32"/>
          <w:szCs w:val="32"/>
          <w:rtl/>
        </w:rPr>
        <w:t>دخول</w:t>
      </w:r>
      <w:r w:rsidRPr="00724A1B">
        <w:rPr>
          <w:rFonts w:hint="cs"/>
          <w:color w:val="1D1B11" w:themeColor="background2" w:themeShade="1A"/>
          <w:sz w:val="32"/>
          <w:szCs w:val="32"/>
          <w:rtl/>
        </w:rPr>
        <w:t xml:space="preserve"> </w:t>
      </w:r>
      <w:r w:rsidRPr="00724A1B">
        <w:rPr>
          <w:color w:val="1D1B11" w:themeColor="background2" w:themeShade="1A"/>
          <w:sz w:val="32"/>
          <w:szCs w:val="32"/>
          <w:rtl/>
        </w:rPr>
        <w:t>نون الوقاية عليها، نحو إنّني، كأنّني، لكنّني، كدخولها</w:t>
      </w:r>
      <w:r w:rsidRPr="00724A1B">
        <w:rPr>
          <w:rFonts w:hint="cs"/>
          <w:color w:val="1D1B11" w:themeColor="background2" w:themeShade="1A"/>
          <w:sz w:val="32"/>
          <w:szCs w:val="32"/>
          <w:rtl/>
        </w:rPr>
        <w:t xml:space="preserve"> على الأفعال.</w:t>
      </w:r>
    </w:p>
    <w:p w:rsidR="007D6707" w:rsidRPr="00724A1B" w:rsidRDefault="007D6707" w:rsidP="007D6707">
      <w:pPr>
        <w:bidi/>
        <w:spacing w:after="160" w:line="240" w:lineRule="auto"/>
        <w:rPr>
          <w:rFonts w:ascii="Simplified Arabic" w:hAnsi="Simplified Arabic" w:cs="Simplified Arabic"/>
          <w:b/>
          <w:bCs/>
          <w:color w:val="1D1B11" w:themeColor="background2" w:themeShade="1A"/>
          <w:sz w:val="32"/>
          <w:szCs w:val="32"/>
          <w:rtl/>
          <w:lang w:bidi="ar-DZ"/>
        </w:rPr>
      </w:pPr>
      <w:r w:rsidRPr="00724A1B">
        <w:rPr>
          <w:rFonts w:ascii="Simplified Arabic" w:hAnsi="Simplified Arabic" w:cs="Simplified Arabic" w:hint="cs"/>
          <w:b/>
          <w:bCs/>
          <w:color w:val="1D1B11" w:themeColor="background2" w:themeShade="1A"/>
          <w:sz w:val="32"/>
          <w:szCs w:val="32"/>
          <w:rtl/>
          <w:lang w:bidi="ar-DZ"/>
        </w:rPr>
        <w:t>شروط عملها:</w:t>
      </w:r>
    </w:p>
    <w:p w:rsidR="007D6707" w:rsidRDefault="007D6707" w:rsidP="007D6707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يشترط في عمل هذه الحروف ألا تتصل بها ما الزائدة الكافة عن العمل</w:t>
      </w:r>
      <w:r>
        <w:rPr>
          <w:rStyle w:val="Appelnotedebasdep"/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  <w:footnoteReference w:id="3"/>
      </w: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، فإن اتصلت بها كفتها عن العمل، نحو إنما أخوك مجتهدٌ، فأخوك يعرب مبتدأ، لا اسم أنّ، كأنما المؤمنون إخوة، وتسمى "ما" هذه "الكافة". </w:t>
      </w:r>
    </w:p>
    <w:p w:rsidR="007D6707" w:rsidRPr="008317F2" w:rsidRDefault="007D6707" w:rsidP="007D6707">
      <w:pPr>
        <w:bidi/>
        <w:spacing w:after="160" w:line="240" w:lineRule="auto"/>
        <w:rPr>
          <w:rFonts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</w:pPr>
      <w:r w:rsidRPr="008317F2"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  <w:lang w:bidi="ar-DZ"/>
        </w:rPr>
        <w:t>أحوال اسم إن وخبرها:</w:t>
      </w:r>
    </w:p>
    <w:p w:rsidR="007D6707" w:rsidRDefault="007D6707" w:rsidP="007D6707">
      <w:pPr>
        <w:pStyle w:val="Paragraphedeliste"/>
        <w:numPr>
          <w:ilvl w:val="0"/>
          <w:numId w:val="1"/>
        </w:num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 w:rsidRPr="00513E92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يجب تأخير خبر إن عن اسمها إذا لم يكن شبه جملة، نحو: إن الصدقَ نجاةٌ، إن أخاك مجتهدٌ.</w:t>
      </w:r>
    </w:p>
    <w:p w:rsidR="007D6707" w:rsidRDefault="007D6707" w:rsidP="007D6707">
      <w:pPr>
        <w:pStyle w:val="Paragraphedeliste"/>
        <w:numPr>
          <w:ilvl w:val="0"/>
          <w:numId w:val="1"/>
        </w:num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يجب تقديم خبر إن عن اسمها إذا كان الخبر شبه جملة (ظرفا أو جارا ومجرورا)، </w:t>
      </w:r>
      <w:proofErr w:type="gramStart"/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و الاسم</w:t>
      </w:r>
      <w:proofErr w:type="gramEnd"/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نكرة، نحو: إن في ذلك لآيةً، إن عندك ضيفا.</w:t>
      </w:r>
    </w:p>
    <w:p w:rsidR="007D6707" w:rsidRDefault="007D6707" w:rsidP="007D6707">
      <w:pPr>
        <w:pStyle w:val="Paragraphedeliste"/>
        <w:numPr>
          <w:ilvl w:val="0"/>
          <w:numId w:val="1"/>
        </w:num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lastRenderedPageBreak/>
        <w:t>كما يجب تقديم خبر إن إذا كان في الاسم ضمير يعود على الخبر نحو: إن في البيت صاحبَه، لكن للقضية أسبابها.</w:t>
      </w:r>
    </w:p>
    <w:p w:rsidR="007D6707" w:rsidRPr="0004059D" w:rsidRDefault="007D6707" w:rsidP="007D6707">
      <w:pPr>
        <w:bidi/>
        <w:spacing w:after="160" w:line="240" w:lineRule="auto"/>
        <w:ind w:left="720"/>
        <w:rPr>
          <w:rFonts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</w:pPr>
      <w:r w:rsidRPr="0004059D"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  <w:lang w:bidi="ar-DZ"/>
        </w:rPr>
        <w:t>تخفيف بعض أخوات إنّ:</w:t>
      </w:r>
    </w:p>
    <w:p w:rsidR="007D6707" w:rsidRDefault="007D6707" w:rsidP="007D6707">
      <w:pPr>
        <w:bidi/>
        <w:spacing w:after="160" w:line="240" w:lineRule="auto"/>
        <w:ind w:left="720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قد تخفف إنّ، كأنّ، لكنّ، أنّ، فتحذف إحدى نونيها، ويؤتى بالنون ساكنة لا مشددة، فيبطل عملها في الجملة، ويكون ما بعدها جملة اسمية أو فعلية.</w:t>
      </w:r>
    </w:p>
    <w:p w:rsidR="007D6707" w:rsidRDefault="007D6707" w:rsidP="007D6707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 w:rsidRPr="00D72DA7"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  <w:lang w:bidi="ar-DZ"/>
        </w:rPr>
        <w:t>"إنّ</w:t>
      </w: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" إذا خففت تصير "إنْ" وجاز إعمالها أو إهمالها، وإذا أهملت دخلت لام الابتداء على خبرها فارقة بين الإعمال والإهمال.</w:t>
      </w:r>
    </w:p>
    <w:p w:rsidR="007D6707" w:rsidRDefault="007D6707" w:rsidP="007D6707">
      <w:pPr>
        <w:bidi/>
        <w:spacing w:after="160" w:line="240" w:lineRule="auto"/>
        <w:ind w:left="720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نقول في الإهمال: - إنِ البخلُ لعارٌ</w:t>
      </w:r>
    </w:p>
    <w:p w:rsidR="007D6707" w:rsidRDefault="007D6707" w:rsidP="007D6707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                         -إن ْ أخوك لعالمٌ</w:t>
      </w:r>
    </w:p>
    <w:p w:rsidR="007D6707" w:rsidRDefault="007D6707" w:rsidP="007D6707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 في هاتين الحالتين أهملت إن وما بعدها مبتدأ وخبر</w:t>
      </w:r>
    </w:p>
    <w:p w:rsidR="007D6707" w:rsidRDefault="007D6707" w:rsidP="007D6707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ونقول في الإعمال: - إنِ البخلَ عارٌ وإنْ أخاك عالمُ، في هذه الحالة أعملت إن وما بعدها اسم وخبر لها.</w:t>
      </w:r>
    </w:p>
    <w:p w:rsidR="007D6707" w:rsidRDefault="007D6707" w:rsidP="007D6707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 w:rsidRPr="00D72DA7"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  <w:lang w:bidi="ar-DZ"/>
        </w:rPr>
        <w:t>"أنّ"</w:t>
      </w:r>
      <w:r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إذا خففت سبقت بفعل ظن</w:t>
      </w:r>
      <w:r w:rsidR="00DC6A4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ٍّ</w:t>
      </w: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أو يقين</w:t>
      </w:r>
      <w:r w:rsidR="00DC6A45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ٍ</w:t>
      </w: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ولا تهمل، ويقدر بعدها ضمير الشأن محذوفا وهو اسمها، وتكون الجملة بعدها خبرا لها.</w:t>
      </w:r>
    </w:p>
    <w:p w:rsidR="007D6707" w:rsidRDefault="007D6707" w:rsidP="007D6707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نقول: أيقن المتهم أنْ سجنه غير مؤقت</w:t>
      </w:r>
    </w:p>
    <w:p w:rsidR="007D6707" w:rsidRDefault="007D6707" w:rsidP="007D6707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علم الكسول أنْ سيكون نجاحه مستحيلا</w:t>
      </w:r>
    </w:p>
    <w:p w:rsidR="007D6707" w:rsidRDefault="007D6707" w:rsidP="007D6707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ظن المجرم أنْ لن يعاقب</w:t>
      </w:r>
    </w:p>
    <w:p w:rsidR="007D6707" w:rsidRDefault="007D6707" w:rsidP="007D6707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التقدير فيها جميعا أنه</w:t>
      </w:r>
    </w:p>
    <w:p w:rsidR="007D6707" w:rsidRDefault="007D6707" w:rsidP="007D6707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 w:rsidRPr="000C548C"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  <w:lang w:bidi="ar-DZ"/>
        </w:rPr>
        <w:t>"كأنّ"</w:t>
      </w: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 xml:space="preserve"> إذا خففت فالأغلب أنها تبقى عاملة واسمها يكون ضميرا محذوفا (ضمير الشأن)، ويكون خبرها الجملة المفسرة، ويصدر الفعل بعدها بلم أو قد.</w:t>
      </w:r>
    </w:p>
    <w:p w:rsidR="007D6707" w:rsidRDefault="007D6707" w:rsidP="007D6707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كأنْ قد طلع الفجر التقدير كأنْه قد طلع الفجر، اسم كأن ضمير الشأن المحذوف، والجملة المفسرة في محل رفع خبر.</w:t>
      </w:r>
    </w:p>
    <w:p w:rsidR="007D6707" w:rsidRDefault="007D6707" w:rsidP="007D6707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 w:rsidRPr="000C548C"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  <w:lang w:bidi="ar-DZ"/>
        </w:rPr>
        <w:t>"لكنّ"</w:t>
      </w:r>
      <w:r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إذا خففت صارت "لكنْ" وأهملت وأبطل عملها وجوبا، وجاز دخولها على الجملة الاسمية والفعلية، إذ تصبح حرف استدراك ليس إلا.</w:t>
      </w:r>
    </w:p>
    <w:p w:rsidR="007D6707" w:rsidRDefault="007D6707" w:rsidP="007D6707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حكى لي كلاما كثيرا لكنِ الحقيقة غير ذلك</w:t>
      </w:r>
    </w:p>
    <w:p w:rsidR="007D6707" w:rsidRDefault="007D6707" w:rsidP="007D6707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"لكنِ الراسخون في العلم منهم والمؤمنون يؤمنون بما انزل إليك"</w:t>
      </w:r>
    </w:p>
    <w:p w:rsidR="007D6707" w:rsidRDefault="007D6707" w:rsidP="007D6707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في هذين المثالين أهملت لكن وما بعدها مبتدأ وخبرا</w:t>
      </w:r>
    </w:p>
    <w:p w:rsidR="0014296E" w:rsidRPr="0014296E" w:rsidRDefault="00C80B3F" w:rsidP="0014296E">
      <w:pPr>
        <w:bidi/>
        <w:spacing w:after="160" w:line="240" w:lineRule="auto"/>
        <w:rPr>
          <w:rFonts w:ascii="Simplified Arabic" w:hAnsi="Simplified Arabic" w:cs="Simplified Arabic"/>
          <w:b/>
          <w:bCs/>
          <w:color w:val="000000" w:themeColor="text1" w:themeShade="80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  <w:lang w:bidi="ar-DZ"/>
        </w:rPr>
        <w:t>المراجع:</w:t>
      </w:r>
    </w:p>
    <w:p w:rsidR="0014296E" w:rsidRPr="0014296E" w:rsidRDefault="0014296E" w:rsidP="0014296E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</w:rPr>
      </w:pPr>
      <w:r w:rsidRPr="0014296E">
        <w:rPr>
          <w:rFonts w:ascii="Simplified Arabic" w:hAnsi="Simplified Arabic" w:cs="Simplified Arabic" w:hint="cs"/>
          <w:b/>
          <w:bCs/>
          <w:color w:val="000000" w:themeColor="text1" w:themeShade="80"/>
          <w:sz w:val="32"/>
          <w:szCs w:val="32"/>
          <w:rtl/>
        </w:rPr>
        <w:t>-</w:t>
      </w:r>
      <w:r w:rsidRPr="0014296E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</w:rPr>
        <w:t xml:space="preserve"> شرح شذور الذهب في معرفة كلام العرب، ابن هشام الأنصاري</w:t>
      </w:r>
    </w:p>
    <w:p w:rsidR="0014296E" w:rsidRPr="0014296E" w:rsidRDefault="0014296E" w:rsidP="0014296E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</w:rPr>
      </w:pPr>
      <w:r w:rsidRPr="0014296E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</w:rPr>
        <w:lastRenderedPageBreak/>
        <w:t xml:space="preserve">- جامع الدروس العربية، مصطفى </w:t>
      </w:r>
      <w:proofErr w:type="spellStart"/>
      <w:r w:rsidRPr="0014296E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</w:rPr>
        <w:t>الغلاييني</w:t>
      </w:r>
      <w:bookmarkStart w:id="0" w:name="_GoBack"/>
      <w:bookmarkEnd w:id="0"/>
      <w:proofErr w:type="spellEnd"/>
    </w:p>
    <w:p w:rsidR="0014296E" w:rsidRPr="0014296E" w:rsidRDefault="0014296E" w:rsidP="0014296E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</w:rPr>
      </w:pPr>
      <w:r w:rsidRPr="0014296E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</w:rPr>
        <w:t>- الوسيط في النحو، كاملة الكواري</w:t>
      </w:r>
    </w:p>
    <w:p w:rsidR="00C80B3F" w:rsidRPr="0014296E" w:rsidRDefault="0014296E" w:rsidP="0014296E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</w:rPr>
      </w:pPr>
      <w:r w:rsidRPr="0014296E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</w:rPr>
        <w:t xml:space="preserve"> - الفهم السريع لقواعد اللغة، الجملة العربية (شرحها وإعرابها)، يحي </w:t>
      </w:r>
      <w:proofErr w:type="spellStart"/>
      <w:r w:rsidRPr="0014296E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</w:rPr>
        <w:t>خروبي</w:t>
      </w:r>
      <w:proofErr w:type="spellEnd"/>
    </w:p>
    <w:p w:rsidR="007D6707" w:rsidRPr="0014296E" w:rsidRDefault="0014296E" w:rsidP="007D6707">
      <w:pPr>
        <w:bidi/>
        <w:spacing w:after="160" w:line="240" w:lineRule="auto"/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</w:pPr>
      <w:r w:rsidRPr="0014296E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- النحو الوافي، عباس حسن</w:t>
      </w:r>
    </w:p>
    <w:p w:rsidR="0014296E" w:rsidRPr="0014296E" w:rsidRDefault="0014296E" w:rsidP="0014296E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rtl/>
          <w:lang w:bidi="ar-DZ"/>
        </w:rPr>
      </w:pPr>
      <w:r w:rsidRPr="0014296E">
        <w:rPr>
          <w:rFonts w:ascii="Simplified Arabic" w:hAnsi="Simplified Arabic" w:cs="Simplified Arabic" w:hint="cs"/>
          <w:color w:val="000000" w:themeColor="text1" w:themeShade="80"/>
          <w:sz w:val="32"/>
          <w:szCs w:val="32"/>
          <w:rtl/>
          <w:lang w:bidi="ar-DZ"/>
        </w:rPr>
        <w:t>- الجملة الاسمية وملحقاتها، إميل كبا</w:t>
      </w:r>
    </w:p>
    <w:p w:rsidR="005B4F1F" w:rsidRPr="00DC6A45" w:rsidRDefault="005B4F1F" w:rsidP="00DC6A45">
      <w:pPr>
        <w:bidi/>
        <w:spacing w:after="160" w:line="240" w:lineRule="auto"/>
        <w:rPr>
          <w:rFonts w:ascii="Simplified Arabic" w:hAnsi="Simplified Arabic" w:cs="Simplified Arabic"/>
          <w:color w:val="000000" w:themeColor="text1" w:themeShade="80"/>
          <w:sz w:val="32"/>
          <w:szCs w:val="32"/>
          <w:lang w:bidi="ar-DZ"/>
        </w:rPr>
      </w:pPr>
    </w:p>
    <w:sectPr w:rsidR="005B4F1F" w:rsidRPr="00DC6A45" w:rsidSect="005B4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F3C" w:rsidRDefault="00A61F3C" w:rsidP="007D6707">
      <w:pPr>
        <w:spacing w:after="0" w:line="240" w:lineRule="auto"/>
      </w:pPr>
      <w:r>
        <w:separator/>
      </w:r>
    </w:p>
  </w:endnote>
  <w:endnote w:type="continuationSeparator" w:id="0">
    <w:p w:rsidR="00A61F3C" w:rsidRDefault="00A61F3C" w:rsidP="007D6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F3C" w:rsidRDefault="00A61F3C" w:rsidP="007D6707">
      <w:pPr>
        <w:spacing w:after="0" w:line="240" w:lineRule="auto"/>
      </w:pPr>
      <w:r>
        <w:separator/>
      </w:r>
    </w:p>
  </w:footnote>
  <w:footnote w:type="continuationSeparator" w:id="0">
    <w:p w:rsidR="00A61F3C" w:rsidRDefault="00A61F3C" w:rsidP="007D6707">
      <w:pPr>
        <w:spacing w:after="0" w:line="240" w:lineRule="auto"/>
      </w:pPr>
      <w:r>
        <w:continuationSeparator/>
      </w:r>
    </w:p>
  </w:footnote>
  <w:footnote w:id="1">
    <w:p w:rsidR="007D6707" w:rsidRDefault="007D6707" w:rsidP="007D6707">
      <w:pPr>
        <w:pStyle w:val="Notedebasdepage"/>
        <w:bidi/>
        <w:rPr>
          <w:sz w:val="28"/>
          <w:szCs w:val="28"/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- </w:t>
      </w:r>
      <w:r>
        <w:rPr>
          <w:rFonts w:hint="cs"/>
          <w:sz w:val="28"/>
          <w:szCs w:val="28"/>
          <w:rtl/>
        </w:rPr>
        <w:t>من المواضع التي تكسر فيها همزة "إن" ما يلي:</w:t>
      </w:r>
    </w:p>
    <w:p w:rsidR="007D6707" w:rsidRDefault="006D67D1" w:rsidP="007D6707">
      <w:pPr>
        <w:pStyle w:val="Notedebasdepage"/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 إذا وقعت في أول الكلام، نحو:</w:t>
      </w:r>
      <w:r w:rsidR="007D6707">
        <w:rPr>
          <w:rFonts w:hint="cs"/>
          <w:sz w:val="28"/>
          <w:szCs w:val="28"/>
          <w:rtl/>
        </w:rPr>
        <w:t xml:space="preserve"> إن الحياةَ عملٌ، إنك فاضلٌ</w:t>
      </w:r>
    </w:p>
    <w:p w:rsidR="007D6707" w:rsidRDefault="007D6707" w:rsidP="007D6707">
      <w:pPr>
        <w:pStyle w:val="Notedebasdepage"/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ب- أن تقع في جملة محكية بالقول، غير متضمن معنى الشك، نحو: قلت إنّ الحق معك، قال إنه لا يأتي</w:t>
      </w:r>
    </w:p>
    <w:p w:rsidR="007D6707" w:rsidRDefault="007D6707" w:rsidP="006D67D1">
      <w:pPr>
        <w:pStyle w:val="Notedebasdepage"/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ج- </w:t>
      </w:r>
      <w:r w:rsidR="006D67D1">
        <w:rPr>
          <w:rFonts w:hint="cs"/>
          <w:sz w:val="28"/>
          <w:szCs w:val="28"/>
          <w:rtl/>
        </w:rPr>
        <w:t>أ</w:t>
      </w:r>
      <w:r>
        <w:rPr>
          <w:rFonts w:hint="cs"/>
          <w:sz w:val="28"/>
          <w:szCs w:val="28"/>
          <w:rtl/>
        </w:rPr>
        <w:t>ن تقع جوابا للقسم وفي خبرها اللام، نحو: والله إنك لمقصّرٌ في واجباتك</w:t>
      </w:r>
    </w:p>
    <w:p w:rsidR="007D6707" w:rsidRPr="005D08F3" w:rsidRDefault="007D6707" w:rsidP="007D6707">
      <w:pPr>
        <w:pStyle w:val="Notedebasdepage"/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د- أن تقع بعد فعل من أفعال القلوب، نحو: علمت إن زيدا لقائمّ</w:t>
      </w:r>
    </w:p>
  </w:footnote>
  <w:footnote w:id="2">
    <w:p w:rsidR="007D6707" w:rsidRPr="001271B6" w:rsidRDefault="007D6707" w:rsidP="007D6707">
      <w:pPr>
        <w:pStyle w:val="Notedebasdepage"/>
        <w:bidi/>
        <w:rPr>
          <w:sz w:val="28"/>
          <w:szCs w:val="28"/>
          <w:rtl/>
        </w:rPr>
      </w:pPr>
      <w:r>
        <w:rPr>
          <w:rStyle w:val="Appelnotedebasdep"/>
        </w:rPr>
        <w:footnoteRef/>
      </w:r>
      <w:r>
        <w:t xml:space="preserve"> </w:t>
      </w:r>
      <w:r w:rsidRPr="001271B6">
        <w:rPr>
          <w:rFonts w:hint="cs"/>
          <w:sz w:val="28"/>
          <w:szCs w:val="28"/>
          <w:rtl/>
        </w:rPr>
        <w:t>- معنى (أن</w:t>
      </w:r>
      <w:r>
        <w:rPr>
          <w:rFonts w:hint="cs"/>
          <w:sz w:val="28"/>
          <w:szCs w:val="28"/>
          <w:rtl/>
        </w:rPr>
        <w:t>) و(إن) للتوكيد، ومعنى (كأن) للتشبيه، ومعنى (لكن) للاستدراك، و(لعلّ) للترجي، و(ليت) للتمني، والفرق بين التمني والترجي، أن الترجي لا يكون إلا في الممكن، فلا تقل: لعلّ الشباب يعود يوما، أما التمني فيكون في الممكن وغير الممكن.</w:t>
      </w:r>
    </w:p>
  </w:footnote>
  <w:footnote w:id="3">
    <w:p w:rsidR="007D6707" w:rsidRPr="00E74BDC" w:rsidRDefault="007D6707" w:rsidP="007D6707">
      <w:pPr>
        <w:pStyle w:val="Notedebasdepage"/>
        <w:bidi/>
        <w:rPr>
          <w:sz w:val="28"/>
          <w:szCs w:val="28"/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- </w:t>
      </w:r>
      <w:r>
        <w:rPr>
          <w:rFonts w:hint="cs"/>
          <w:sz w:val="28"/>
          <w:szCs w:val="28"/>
          <w:rtl/>
        </w:rPr>
        <w:t>ما عدا (ليت)،إذ يجوز فيها الإعمال، فتقول: ليتما عليا حاضرٌ، وتقول إن شئت: ليت عليٌّ حاضرٌ.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24AF5"/>
    <w:multiLevelType w:val="hybridMultilevel"/>
    <w:tmpl w:val="9A74EB3E"/>
    <w:lvl w:ilvl="0" w:tplc="264A40C8">
      <w:start w:val="1"/>
      <w:numFmt w:val="arabicAlpha"/>
      <w:lvlText w:val="%1-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DAE1D19"/>
    <w:multiLevelType w:val="hybridMultilevel"/>
    <w:tmpl w:val="21C01608"/>
    <w:lvl w:ilvl="0" w:tplc="715C65B2">
      <w:start w:val="1"/>
      <w:numFmt w:val="decimal"/>
      <w:lvlText w:val="%1-"/>
      <w:lvlJc w:val="left"/>
      <w:pPr>
        <w:ind w:left="502" w:hanging="360"/>
      </w:pPr>
      <w:rPr>
        <w:rFonts w:ascii="Simplified Arabic" w:eastAsiaTheme="minorHAnsi" w:hAnsi="Simplified Arabic" w:cs="Simplified Arabic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2D83AF1"/>
    <w:multiLevelType w:val="hybridMultilevel"/>
    <w:tmpl w:val="6C0CA6E0"/>
    <w:lvl w:ilvl="0" w:tplc="2A9616D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6707"/>
    <w:rsid w:val="000A53BD"/>
    <w:rsid w:val="0014296E"/>
    <w:rsid w:val="001A5F9D"/>
    <w:rsid w:val="00411EEC"/>
    <w:rsid w:val="00526B50"/>
    <w:rsid w:val="005B4F1F"/>
    <w:rsid w:val="006D67D1"/>
    <w:rsid w:val="007D6707"/>
    <w:rsid w:val="00A61F3C"/>
    <w:rsid w:val="00C80B3F"/>
    <w:rsid w:val="00CA35E6"/>
    <w:rsid w:val="00DC6A45"/>
    <w:rsid w:val="00F7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F145"/>
  <w15:docId w15:val="{D93834C8-DC92-48B5-815A-09E3BF2C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07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6707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670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D670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D67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FUJITSU</cp:lastModifiedBy>
  <cp:revision>5</cp:revision>
  <dcterms:created xsi:type="dcterms:W3CDTF">2021-05-22T21:00:00Z</dcterms:created>
  <dcterms:modified xsi:type="dcterms:W3CDTF">2025-03-16T20:59:00Z</dcterms:modified>
</cp:coreProperties>
</file>