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EE" w:rsidRPr="00191DEE" w:rsidRDefault="00191DEE" w:rsidP="00191DEE">
      <w:pPr>
        <w:rPr>
          <w:rFonts w:ascii="Times New Roman" w:hAnsi="Times New Roman" w:cs="Times New Roman"/>
          <w:sz w:val="24"/>
          <w:szCs w:val="24"/>
        </w:rPr>
      </w:pPr>
      <w:r w:rsidRPr="00191DEE">
        <w:rPr>
          <w:rFonts w:ascii="Times New Roman" w:hAnsi="Times New Roman" w:cs="Times New Roman"/>
          <w:sz w:val="24"/>
          <w:szCs w:val="24"/>
        </w:rPr>
        <w:t xml:space="preserve">Université de Sétif 2.   </w:t>
      </w:r>
    </w:p>
    <w:p w:rsidR="00191DEE" w:rsidRPr="00191DEE" w:rsidRDefault="00191DEE" w:rsidP="00191DEE">
      <w:pPr>
        <w:rPr>
          <w:rFonts w:ascii="Times New Roman" w:hAnsi="Times New Roman" w:cs="Times New Roman"/>
          <w:sz w:val="24"/>
          <w:szCs w:val="24"/>
        </w:rPr>
      </w:pPr>
      <w:r w:rsidRPr="00191DEE">
        <w:rPr>
          <w:rFonts w:ascii="Times New Roman" w:hAnsi="Times New Roman" w:cs="Times New Roman"/>
          <w:sz w:val="24"/>
          <w:szCs w:val="24"/>
        </w:rPr>
        <w:t>Faculté des lettres et des langues</w:t>
      </w:r>
    </w:p>
    <w:p w:rsidR="00191DEE" w:rsidRPr="00191DEE" w:rsidRDefault="00191DEE" w:rsidP="00191DEE">
      <w:pPr>
        <w:jc w:val="both"/>
        <w:rPr>
          <w:rFonts w:ascii="Times New Roman" w:hAnsi="Times New Roman" w:cs="Times New Roman"/>
          <w:sz w:val="24"/>
          <w:szCs w:val="24"/>
        </w:rPr>
      </w:pPr>
      <w:r w:rsidRPr="00191DEE">
        <w:rPr>
          <w:rFonts w:ascii="Times New Roman" w:hAnsi="Times New Roman" w:cs="Times New Roman"/>
          <w:sz w:val="24"/>
          <w:szCs w:val="24"/>
        </w:rPr>
        <w:t xml:space="preserve">Département de français.                                                                                                      </w:t>
      </w:r>
    </w:p>
    <w:p w:rsidR="00191DEE" w:rsidRPr="00191DEE" w:rsidRDefault="00191DEE" w:rsidP="00191DEE">
      <w:pPr>
        <w:jc w:val="both"/>
        <w:rPr>
          <w:rFonts w:ascii="Times New Roman" w:hAnsi="Times New Roman" w:cs="Times New Roman"/>
          <w:sz w:val="24"/>
          <w:szCs w:val="24"/>
        </w:rPr>
      </w:pPr>
      <w:r w:rsidRPr="00191DEE">
        <w:rPr>
          <w:rFonts w:ascii="Times New Roman" w:hAnsi="Times New Roman" w:cs="Times New Roman"/>
          <w:sz w:val="24"/>
          <w:szCs w:val="24"/>
        </w:rPr>
        <w:t>Module : L’écrit 1</w:t>
      </w:r>
      <w:r w:rsidRPr="00191DEE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191DEE">
        <w:rPr>
          <w:rFonts w:ascii="Times New Roman" w:hAnsi="Times New Roman" w:cs="Times New Roman"/>
          <w:sz w:val="24"/>
          <w:szCs w:val="24"/>
        </w:rPr>
        <w:t xml:space="preserve"> année LMD.                                                     </w:t>
      </w:r>
    </w:p>
    <w:p w:rsidR="00191DEE" w:rsidRDefault="00191DEE" w:rsidP="00191DEE">
      <w:pPr>
        <w:jc w:val="both"/>
        <w:rPr>
          <w:b/>
          <w:bCs/>
          <w:sz w:val="20"/>
          <w:szCs w:val="20"/>
        </w:rPr>
      </w:pPr>
      <w:r w:rsidRPr="00191DEE">
        <w:rPr>
          <w:rFonts w:ascii="Times New Roman" w:hAnsi="Times New Roman" w:cs="Times New Roman"/>
          <w:sz w:val="24"/>
          <w:szCs w:val="24"/>
        </w:rPr>
        <w:t>Année universitaire : 2024/2025</w:t>
      </w:r>
      <w:r w:rsidRPr="00382FD7">
        <w:rPr>
          <w:b/>
          <w:bCs/>
          <w:sz w:val="20"/>
          <w:szCs w:val="20"/>
        </w:rPr>
        <w:t xml:space="preserve">.                  </w:t>
      </w:r>
    </w:p>
    <w:p w:rsidR="00191DEE" w:rsidRPr="00382FD7" w:rsidRDefault="00191DEE" w:rsidP="00191DEE">
      <w:pPr>
        <w:jc w:val="both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 texte descriptif</w:t>
      </w:r>
      <w:r w:rsidRPr="00382FD7">
        <w:rPr>
          <w:b/>
          <w:bCs/>
          <w:sz w:val="20"/>
          <w:szCs w:val="20"/>
        </w:rPr>
        <w:t xml:space="preserve">                                                                              </w:t>
      </w:r>
    </w:p>
    <w:p w:rsidR="00191DEE" w:rsidRDefault="00191DEE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4108A6" w:rsidRPr="004108A6" w:rsidRDefault="004108A6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108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Extrait 1</w:t>
      </w:r>
    </w:p>
    <w:p w:rsidR="004108A6" w:rsidRPr="004108A6" w:rsidRDefault="004108A6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fr-FR"/>
        </w:rPr>
      </w:pP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Il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avait l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es joues pourpres et les yeux baissés.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C’était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un petit homme de dix-huit à dix-neuf ans, faible en apparence, avec des traits irréguliers, mais délicats, et un nez aquilin. De grands yeux noirs, qui, dans les moments tranquilles,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annonçaient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 la réflexion et du feu, étaient animés en cet instant de l’expression de la haine la plus féroce. </w:t>
      </w:r>
      <w:proofErr w:type="gramStart"/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Des cheveux châtain</w:t>
      </w:r>
      <w:proofErr w:type="gramEnd"/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foncé, plantés fort bas, lui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donnaient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un petit front, et, dans les moments de colère, un air méchant. Parmi les innombrables variétés de la physionomie humaine, il n’en est peut-être point qui se soit distinguée par une spécialité plus saisissante. Une taille svelte et bien prise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annonçait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plus de légèreté que de vigueur. Dès sa première jeunesse, son air extrêmement pensif et sa grande pâleur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avaient donné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l’idée à son père qu’il ne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vivrait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pas, ou qu’il v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ivrait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 pour être une charge à sa famille. Objet des mépris de tous à la maison, il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haïssait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ses frères et son </w:t>
      </w:r>
      <w:proofErr w:type="gramStart"/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père;</w:t>
      </w:r>
      <w:proofErr w:type="gramEnd"/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jeux du dimanche, sur la place publique, il </w:t>
      </w:r>
      <w:r w:rsidRPr="004108A6"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fr-FR"/>
        </w:rPr>
        <w:t>était t</w:t>
      </w:r>
      <w:r w:rsidRPr="004108A6">
        <w:rPr>
          <w:rFonts w:ascii="Times New Roman" w:eastAsia="Times New Roman" w:hAnsi="Times New Roman" w:cs="Times New Roman"/>
          <w:sz w:val="24"/>
          <w:szCs w:val="24"/>
          <w:lang w:eastAsia="fr-FR"/>
        </w:rPr>
        <w:t>oujours battu.</w:t>
      </w:r>
    </w:p>
    <w:p w:rsidR="004108A6" w:rsidRPr="004108A6" w:rsidRDefault="004108A6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4108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Stendhal, </w:t>
      </w:r>
      <w:r w:rsidRPr="00410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 rouge et le noir, </w:t>
      </w:r>
      <w:r w:rsidRPr="004108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1830.</w:t>
      </w:r>
    </w:p>
    <w:p w:rsidR="002F7778" w:rsidRPr="004D67DA" w:rsidRDefault="004108A6" w:rsidP="00191DEE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DA">
        <w:rPr>
          <w:rFonts w:ascii="Times New Roman" w:hAnsi="Times New Roman" w:cs="Times New Roman"/>
          <w:sz w:val="24"/>
          <w:szCs w:val="24"/>
        </w:rPr>
        <w:t>Repérez les caractéristiques du texte descriptif</w:t>
      </w:r>
    </w:p>
    <w:p w:rsidR="004108A6" w:rsidRPr="004D67DA" w:rsidRDefault="004108A6" w:rsidP="00191DEE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DA">
        <w:rPr>
          <w:rFonts w:ascii="Times New Roman" w:hAnsi="Times New Roman" w:cs="Times New Roman"/>
          <w:sz w:val="24"/>
          <w:szCs w:val="24"/>
        </w:rPr>
        <w:t>Dégagez le portrait physique et le portrait moral du personnage décrit.</w:t>
      </w:r>
    </w:p>
    <w:p w:rsidR="004108A6" w:rsidRPr="004D67DA" w:rsidRDefault="004108A6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A6" w:rsidRDefault="004108A6" w:rsidP="00191DE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7DA">
        <w:rPr>
          <w:rFonts w:ascii="Times New Roman" w:hAnsi="Times New Roman" w:cs="Times New Roman"/>
          <w:b/>
          <w:bCs/>
          <w:sz w:val="24"/>
          <w:szCs w:val="24"/>
        </w:rPr>
        <w:t>Extrait 2</w:t>
      </w:r>
    </w:p>
    <w:p w:rsidR="004D67DA" w:rsidRDefault="004D67DA" w:rsidP="00191DEE">
      <w:pPr>
        <w:shd w:val="clear" w:color="auto" w:fill="FFFFFF" w:themeFill="background1"/>
        <w:spacing w:after="0" w:line="360" w:lineRule="auto"/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Longue de 300 km environ, large de plus de 100 km, la Bretagne s’avance, tel un trident, dans l’océan Atlantique. Cet ancien royaume, devenu duché puis région, a changé de statut au fil des siècles, mais sa physionomie est restée la même, hérissée de caps et de </w:t>
      </w:r>
      <w:r w:rsidRPr="004D67DA">
        <w:rPr>
          <w:rStyle w:val="lev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falaises,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découpée en pointes granitiques, en abers, en criques rocheuses, en baies abritées et en </w:t>
      </w:r>
      <w:r w:rsidRPr="004D67DA">
        <w:rPr>
          <w:rStyle w:val="lev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plages de sable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et </w:t>
      </w:r>
      <w:proofErr w:type="spellStart"/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degalets</w:t>
      </w:r>
      <w:proofErr w:type="spellEnd"/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4D67D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Difficile de trouver un rivage plus fracturé, plus imprévisible que le </w:t>
      </w:r>
      <w:r w:rsidRPr="004D67DA">
        <w:rPr>
          <w:rStyle w:val="lev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littoral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breton. Il doit à la dureté de son *socle de ne pas avoir été érodé par des millénaires d’assauts océaniques : le</w:t>
      </w:r>
      <w:r w:rsidRPr="004D67DA">
        <w:rPr>
          <w:rStyle w:val="lev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Massif</w:t>
      </w:r>
      <w:r w:rsidRPr="004D6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armoricain constitue un des reliefs les plus plats de France mais aussi un des plus tenac</w:t>
      </w:r>
      <w:r>
        <w:rPr>
          <w:rFonts w:ascii="Tahoma" w:hAnsi="Tahoma" w:cs="Tahoma"/>
          <w:color w:val="333333"/>
          <w:shd w:val="clear" w:color="auto" w:fill="FFFFFF"/>
        </w:rPr>
        <w:t>es.</w:t>
      </w:r>
    </w:p>
    <w:p w:rsidR="004D67DA" w:rsidRPr="004D67DA" w:rsidRDefault="004D67DA" w:rsidP="00191D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5"/>
          <w:szCs w:val="25"/>
        </w:rPr>
      </w:pPr>
      <w:r>
        <w:rPr>
          <w:color w:val="333333"/>
        </w:rPr>
        <w:lastRenderedPageBreak/>
        <w:t xml:space="preserve">       </w:t>
      </w:r>
      <w:r w:rsidRPr="004D67DA">
        <w:rPr>
          <w:color w:val="333333"/>
        </w:rPr>
        <w:t>La partie nord de la Bretagne présente une remarquable variété de paysages : bocage et vergers à cidre, collines chauves et landes des monts d’Arrée, vallées fluviales remontées par les marées (la Rance, la rivière de Morlaix, les abers), plateau du Léon, jardin potager de la Bretagne.</w:t>
      </w:r>
      <w:r w:rsidRPr="004D67DA">
        <w:rPr>
          <w:color w:val="333333"/>
          <w:sz w:val="25"/>
          <w:szCs w:val="25"/>
        </w:rPr>
        <w:br/>
      </w:r>
      <w:r w:rsidRPr="004D67DA">
        <w:rPr>
          <w:color w:val="333333"/>
        </w:rPr>
        <w:t>De Saint-Malo, fière cité corsaire cernée de </w:t>
      </w:r>
      <w:r w:rsidRPr="004D67DA">
        <w:rPr>
          <w:rStyle w:val="lev"/>
          <w:color w:val="333333"/>
        </w:rPr>
        <w:t>remparts,</w:t>
      </w:r>
      <w:r w:rsidRPr="004D67DA">
        <w:rPr>
          <w:color w:val="333333"/>
        </w:rPr>
        <w:t> jusqu’à Brest, le port de tous les départs, le voyage en Bretagne passe aussi par la mythique </w:t>
      </w:r>
      <w:r w:rsidRPr="004D67DA">
        <w:rPr>
          <w:rStyle w:val="lev"/>
          <w:color w:val="333333"/>
        </w:rPr>
        <w:t>forêt</w:t>
      </w:r>
      <w:r w:rsidRPr="004D67DA">
        <w:rPr>
          <w:color w:val="333333"/>
        </w:rPr>
        <w:t> de Brocéliande et les </w:t>
      </w:r>
      <w:r w:rsidRPr="004D67DA">
        <w:rPr>
          <w:rStyle w:val="lev"/>
          <w:color w:val="333333"/>
        </w:rPr>
        <w:t>enclos paroissiaux</w:t>
      </w:r>
      <w:r w:rsidRPr="004D67DA">
        <w:rPr>
          <w:color w:val="333333"/>
        </w:rPr>
        <w:t> du Léon, fleurons de l’architecture et de l’art bretons.</w:t>
      </w:r>
    </w:p>
    <w:p w:rsidR="004D67DA" w:rsidRDefault="004D67DA" w:rsidP="00191D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333333"/>
        </w:rPr>
      </w:pPr>
      <w:r>
        <w:rPr>
          <w:color w:val="333333"/>
        </w:rPr>
        <w:t xml:space="preserve">       </w:t>
      </w:r>
      <w:r w:rsidRPr="004D67DA">
        <w:rPr>
          <w:color w:val="333333"/>
        </w:rPr>
        <w:t xml:space="preserve">En Bretagne Sud aussi, la terre et la mer se rencontrent, s’unissant pour mieux dessiner le paysage. Ainsi les abers (ou rias), anciennes vallées fluviales, sont remontés 2 fois par jour par les marées. Ainsi, le Pays bigouden, le golfe du Morbihan et les insolites flèches sableuses de </w:t>
      </w:r>
      <w:proofErr w:type="spellStart"/>
      <w:r w:rsidRPr="004D67DA">
        <w:rPr>
          <w:color w:val="333333"/>
        </w:rPr>
        <w:t>Mousterlin</w:t>
      </w:r>
      <w:proofErr w:type="spellEnd"/>
      <w:r w:rsidRPr="004D67DA">
        <w:rPr>
          <w:color w:val="333333"/>
        </w:rPr>
        <w:t xml:space="preserve"> (Fouesnant), la presqu'île de Quiberon. Sans oublier les</w:t>
      </w:r>
      <w:r w:rsidRPr="004D67DA">
        <w:rPr>
          <w:rStyle w:val="lev"/>
          <w:color w:val="333333"/>
        </w:rPr>
        <w:t> îles</w:t>
      </w:r>
      <w:r w:rsidRPr="004D67DA">
        <w:rPr>
          <w:color w:val="333333"/>
        </w:rPr>
        <w:t> : Sein, Groix, Belle-Île..., autant d’univers où le temps s’écoule au rythme des marées</w:t>
      </w:r>
      <w:r>
        <w:rPr>
          <w:rFonts w:ascii="Tahoma" w:hAnsi="Tahoma" w:cs="Tahoma"/>
          <w:color w:val="333333"/>
        </w:rPr>
        <w:t>.</w:t>
      </w:r>
    </w:p>
    <w:p w:rsidR="004D67DA" w:rsidRPr="004D67DA" w:rsidRDefault="004D67DA" w:rsidP="00191DE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color w:val="333333"/>
        </w:rPr>
        <w:t>Quel est le sujet de description dans ce texte ?</w:t>
      </w:r>
    </w:p>
    <w:p w:rsidR="004D67DA" w:rsidRPr="004D67DA" w:rsidRDefault="004D67DA" w:rsidP="00191DE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color w:val="333333"/>
        </w:rPr>
        <w:t>De combien de séquences descriptives est –il formé ?</w:t>
      </w:r>
    </w:p>
    <w:p w:rsidR="004D67DA" w:rsidRPr="005B03AE" w:rsidRDefault="004D67DA" w:rsidP="00191DE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color w:val="333333"/>
        </w:rPr>
        <w:t>Faites le schéma du texte.</w:t>
      </w:r>
    </w:p>
    <w:p w:rsidR="005B03AE" w:rsidRPr="005B03AE" w:rsidRDefault="005B03AE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5"/>
          <w:szCs w:val="25"/>
        </w:rPr>
      </w:pPr>
      <w:r w:rsidRPr="005B03AE">
        <w:rPr>
          <w:b/>
          <w:bCs/>
          <w:color w:val="333333"/>
        </w:rPr>
        <w:t>Extrait3</w:t>
      </w:r>
    </w:p>
    <w:p w:rsidR="005B03AE" w:rsidRDefault="005B03AE" w:rsidP="00191DE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Il y a très, très longtemps, la nuit était noire, sombre, impénétrable car le soleil ne l’éclairait pas. C’est à cette époque que vivait, dans un paisible village, une belle et gentille jeune fille du nom de </w:t>
      </w:r>
      <w:proofErr w:type="spellStart"/>
      <w:r>
        <w:t>Mileka</w:t>
      </w:r>
      <w:proofErr w:type="spellEnd"/>
      <w:r>
        <w:t>.</w:t>
      </w:r>
    </w:p>
    <w:p w:rsidR="005B03AE" w:rsidRDefault="005B03AE" w:rsidP="00191DE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Un jour, des tribus venues du Nord attaquèrent le village. Rusées, elles ne lançaient leurs assauts que la nuit. Malgré leur courage, </w:t>
      </w:r>
      <w:proofErr w:type="spellStart"/>
      <w:r>
        <w:t>Mileka</w:t>
      </w:r>
      <w:proofErr w:type="spellEnd"/>
      <w:r>
        <w:t>, sa famille et les autres villageois ne pouvaient, dans le noir, venir à bout de ces assaillants. Ils se décourageaient.</w:t>
      </w:r>
    </w:p>
    <w:p w:rsidR="005B03AE" w:rsidRPr="004D67DA" w:rsidRDefault="005B03AE" w:rsidP="00191DE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5"/>
          <w:szCs w:val="25"/>
        </w:rPr>
      </w:pPr>
      <w:r>
        <w:t xml:space="preserve">Repérez la séquence descriptive. Quelles informations nous donne-t-elle ? </w:t>
      </w:r>
    </w:p>
    <w:p w:rsidR="005B03AE" w:rsidRDefault="005B03AE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33333"/>
        </w:rPr>
      </w:pPr>
    </w:p>
    <w:p w:rsidR="004D67DA" w:rsidRDefault="004D67DA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333333"/>
        </w:rPr>
      </w:pPr>
      <w:r w:rsidRPr="005B03AE">
        <w:rPr>
          <w:b/>
          <w:bCs/>
          <w:color w:val="333333"/>
        </w:rPr>
        <w:t xml:space="preserve">Faites une comparaison entre les </w:t>
      </w:r>
      <w:r w:rsidR="005B03AE">
        <w:rPr>
          <w:b/>
          <w:bCs/>
          <w:color w:val="333333"/>
        </w:rPr>
        <w:t>trois</w:t>
      </w:r>
      <w:r w:rsidRPr="005B03AE">
        <w:rPr>
          <w:b/>
          <w:bCs/>
          <w:color w:val="333333"/>
        </w:rPr>
        <w:t xml:space="preserve"> extraits</w:t>
      </w:r>
    </w:p>
    <w:p w:rsidR="004474F3" w:rsidRDefault="004474F3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Les extraits précédents sont- ils objectifs ou subjectifs ? justifiez votre réponse</w:t>
      </w:r>
    </w:p>
    <w:p w:rsidR="004474F3" w:rsidRDefault="004474F3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Complétez le tableau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84"/>
        <w:gridCol w:w="2056"/>
        <w:gridCol w:w="2109"/>
        <w:gridCol w:w="2093"/>
      </w:tblGrid>
      <w:tr w:rsidR="004474F3" w:rsidTr="004474F3"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neutre</w:t>
            </w: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mélioratif</w:t>
            </w: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Péjoratif</w:t>
            </w:r>
          </w:p>
        </w:tc>
      </w:tr>
      <w:tr w:rsidR="004474F3" w:rsidTr="004474F3"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Extrait1</w:t>
            </w:r>
          </w:p>
        </w:tc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</w:tr>
      <w:tr w:rsidR="004474F3" w:rsidTr="004474F3"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Extrait 2</w:t>
            </w:r>
          </w:p>
        </w:tc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</w:tr>
      <w:tr w:rsidR="004474F3" w:rsidTr="004474F3"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Extrait3</w:t>
            </w:r>
          </w:p>
        </w:tc>
        <w:tc>
          <w:tcPr>
            <w:tcW w:w="2265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266" w:type="dxa"/>
          </w:tcPr>
          <w:p w:rsidR="004474F3" w:rsidRDefault="004474F3" w:rsidP="00191DE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</w:rPr>
            </w:pPr>
          </w:p>
        </w:tc>
      </w:tr>
    </w:tbl>
    <w:p w:rsidR="004474F3" w:rsidRDefault="004474F3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333333"/>
        </w:rPr>
      </w:pPr>
    </w:p>
    <w:p w:rsidR="004474F3" w:rsidRDefault="004474F3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333333"/>
          <w:sz w:val="28"/>
          <w:szCs w:val="28"/>
        </w:rPr>
      </w:pPr>
      <w:r w:rsidRPr="004474F3">
        <w:rPr>
          <w:b/>
          <w:bCs/>
          <w:color w:val="333333"/>
          <w:sz w:val="28"/>
          <w:szCs w:val="28"/>
        </w:rPr>
        <w:t>Exercice 2</w:t>
      </w:r>
    </w:p>
    <w:p w:rsidR="004474F3" w:rsidRDefault="004474F3" w:rsidP="00191DE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33333"/>
        </w:rPr>
      </w:pPr>
      <w:r w:rsidRPr="004474F3">
        <w:rPr>
          <w:color w:val="333333"/>
        </w:rPr>
        <w:t>Soulignez</w:t>
      </w:r>
      <w:r>
        <w:rPr>
          <w:color w:val="333333"/>
        </w:rPr>
        <w:t xml:space="preserve"> les situations dans lesquelles vous produirez un texte objectif</w:t>
      </w:r>
    </w:p>
    <w:p w:rsidR="004474F3" w:rsidRDefault="003A7F25" w:rsidP="003A7F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Vous faites un rapport d’une réunion de travail</w:t>
      </w:r>
    </w:p>
    <w:p w:rsidR="003A7F25" w:rsidRPr="003A7F25" w:rsidRDefault="003A7F25" w:rsidP="003A7F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 w:rsidRPr="003A7F25">
        <w:rPr>
          <w:color w:val="333333"/>
        </w:rPr>
        <w:t xml:space="preserve">Vous faites la description de votre ville à un ami étranger </w:t>
      </w:r>
      <w:proofErr w:type="gramStart"/>
      <w:r>
        <w:rPr>
          <w:color w:val="333333"/>
        </w:rPr>
        <w:t>que</w:t>
      </w:r>
      <w:r w:rsidRPr="003A7F25">
        <w:rPr>
          <w:color w:val="333333"/>
        </w:rPr>
        <w:t xml:space="preserve">  vous</w:t>
      </w:r>
      <w:proofErr w:type="gramEnd"/>
      <w:r w:rsidRPr="003A7F25">
        <w:rPr>
          <w:color w:val="333333"/>
        </w:rPr>
        <w:t xml:space="preserve"> </w:t>
      </w:r>
      <w:r>
        <w:rPr>
          <w:color w:val="333333"/>
        </w:rPr>
        <w:t>avez invité</w:t>
      </w:r>
    </w:p>
    <w:p w:rsidR="003A7F25" w:rsidRPr="003A7F25" w:rsidRDefault="003A7F25" w:rsidP="003A7F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color w:val="333333"/>
        </w:rPr>
        <w:t>Vous faites l’inventaire de la bibliothèque du département</w:t>
      </w:r>
    </w:p>
    <w:p w:rsidR="003A7F25" w:rsidRPr="003A7F25" w:rsidRDefault="003A7F25" w:rsidP="003A7F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color w:val="333333"/>
        </w:rPr>
        <w:t>Vous décrivez un appareil, son mode de fonctionnement à votre mère</w:t>
      </w:r>
    </w:p>
    <w:p w:rsidR="003A7F25" w:rsidRPr="003A7F25" w:rsidRDefault="003A7F25" w:rsidP="003A7F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color w:val="333333"/>
        </w:rPr>
        <w:t>Vous rédigez une production écrite sur vos vacances</w:t>
      </w:r>
      <w:r w:rsidRPr="003A7F25">
        <w:rPr>
          <w:color w:val="333333"/>
        </w:rPr>
        <w:t xml:space="preserve">  </w:t>
      </w:r>
    </w:p>
    <w:p w:rsidR="004D67DA" w:rsidRPr="003A7F25" w:rsidRDefault="004D67DA" w:rsidP="003A7F25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 w:rsidRPr="003A7F25">
        <w:rPr>
          <w:b/>
          <w:bCs/>
          <w:color w:val="333333"/>
          <w:sz w:val="28"/>
          <w:szCs w:val="28"/>
        </w:rPr>
        <w:t xml:space="preserve">Production </w:t>
      </w:r>
    </w:p>
    <w:p w:rsidR="004D67DA" w:rsidRPr="005B03AE" w:rsidRDefault="00AC6C0B" w:rsidP="00AC6C0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êtes un guide touristique pour un groupe français visitant une ville de votre choix. Faites la description des lieux à visiter, des habitants de cette ville et enfin de sa gastronomie.</w:t>
      </w:r>
      <w:bookmarkStart w:id="0" w:name="_GoBack"/>
      <w:bookmarkEnd w:id="0"/>
    </w:p>
    <w:sectPr w:rsidR="004D67DA" w:rsidRPr="005B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C2"/>
    <w:multiLevelType w:val="hybridMultilevel"/>
    <w:tmpl w:val="7076C31C"/>
    <w:lvl w:ilvl="0" w:tplc="F92E0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500"/>
    <w:multiLevelType w:val="hybridMultilevel"/>
    <w:tmpl w:val="92D4673A"/>
    <w:lvl w:ilvl="0" w:tplc="C04493C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169B"/>
    <w:multiLevelType w:val="hybridMultilevel"/>
    <w:tmpl w:val="EBACC534"/>
    <w:lvl w:ilvl="0" w:tplc="22687C74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67EE"/>
    <w:multiLevelType w:val="hybridMultilevel"/>
    <w:tmpl w:val="B7C8F5F6"/>
    <w:lvl w:ilvl="0" w:tplc="8E643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973EE"/>
    <w:multiLevelType w:val="hybridMultilevel"/>
    <w:tmpl w:val="46B29C9E"/>
    <w:lvl w:ilvl="0" w:tplc="1D62824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A6"/>
    <w:rsid w:val="00191DEE"/>
    <w:rsid w:val="002F7778"/>
    <w:rsid w:val="003803FA"/>
    <w:rsid w:val="003A7F25"/>
    <w:rsid w:val="004108A6"/>
    <w:rsid w:val="004474F3"/>
    <w:rsid w:val="004D67DA"/>
    <w:rsid w:val="005B03AE"/>
    <w:rsid w:val="00AC6C0B"/>
    <w:rsid w:val="00B65B35"/>
    <w:rsid w:val="00DC4AE5"/>
    <w:rsid w:val="00E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89AB"/>
  <w15:chartTrackingRefBased/>
  <w15:docId w15:val="{37C6EC08-AE24-4E05-A7F2-83575C4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108A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108A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108A6"/>
    <w:rPr>
      <w:i/>
      <w:iCs/>
    </w:rPr>
  </w:style>
  <w:style w:type="character" w:customStyle="1" w:styleId="license">
    <w:name w:val="license"/>
    <w:basedOn w:val="Policepardfaut"/>
    <w:rsid w:val="004108A6"/>
  </w:style>
  <w:style w:type="character" w:customStyle="1" w:styleId="sep">
    <w:name w:val="sep"/>
    <w:basedOn w:val="Policepardfaut"/>
    <w:rsid w:val="004108A6"/>
  </w:style>
  <w:style w:type="paragraph" w:styleId="Paragraphedeliste">
    <w:name w:val="List Paragraph"/>
    <w:basedOn w:val="Normal"/>
    <w:uiPriority w:val="34"/>
    <w:qFormat/>
    <w:rsid w:val="004108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DE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4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2025-01-27T09:12:00Z</cp:lastPrinted>
  <dcterms:created xsi:type="dcterms:W3CDTF">2025-03-11T19:27:00Z</dcterms:created>
  <dcterms:modified xsi:type="dcterms:W3CDTF">2025-03-11T19:27:00Z</dcterms:modified>
</cp:coreProperties>
</file>