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555A34">
        <w:rPr>
          <w:rFonts w:ascii="GothicBBBPro-Medium_2o" w:eastAsia="Times New Roman" w:hAnsi="GothicBBBPro-Medium_2o" w:cs="Times New Roman"/>
          <w:b/>
          <w:bCs/>
          <w:color w:val="231F20"/>
          <w:spacing w:val="2"/>
          <w:sz w:val="23"/>
          <w:lang w:val="en-US" w:eastAsia="fr-FR"/>
        </w:rPr>
        <w:t>Overvie</w:t>
      </w:r>
      <w:r w:rsidRPr="00555A34"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  <w:t xml:space="preserve">w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One of the miracles of early childhood is the acquisition of one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>’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s mother tongue. Barring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extreme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circumstances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, a child will seemingly effortlessly pick up one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>’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s native language without books,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audio tapes, or formalized instruction. From babbling to development of grammatical morphemes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,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to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fully grown vocabularies and sentence structures, L1 development is an essential yet nearly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infallible part of childhood. However, when the language acquisition process shifts from one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 xml:space="preserve">’s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native language to a second language, one need look no further than the countless studies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performed on the (in)ability of students, of various ages, to learn a second or foreign language in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a classroom, not to mention the practical experience of both educators and language learners.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As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such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, in what capacities are these two learning systems similar or different, and what factors are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responsible for these similarities or discrepancies?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Toward shedding light on this discussion, this paper shall first examine theories of L1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acquisition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to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 get a firm grasp at how children learn their first language. Then, the counterparts to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these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theories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 in the L2 shall be observed with a consideration and analysis of the practical elements of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the L2 classroom that either aid or inhibit such learning outcomes, including affective factors that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are unique to the L2 experience. Although not exclusive to it, many of these issues will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be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analyzed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through the lens of L2 the education process in Japan.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val="en-US" w:eastAsia="fr-FR"/>
        </w:rPr>
        <w:t xml:space="preserve">L1 Acquisition Process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Though we have millions of new cases of first language learners every year, we still do not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fully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understand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exactly how children are so adept and successful at learning their first language.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However, a few major hypotheses have arisen over the last seventy years that attempt to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explain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this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 phenomenon. If we wish to understand the difference between learning in a classroom and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a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child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>’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s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road to language fluency, we must first understand the various prominent theories of first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language acquisition.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  <w:t>How Children Talk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A child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>’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s L1 acquisition can be broken down into several steps of competence. After babbling,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where it is shown that children can already understand the difference between distinct phonemes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in the L1, children begin to create two-word sentences, such as 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>“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Daddy bye-bye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 xml:space="preserve">”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or 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>“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No chair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 xml:space="preserve">”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that, while non-grammatical, relay distinct function and meaning. As time passes, children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grow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more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 comfortable with grammatical forms of negation and questions, to where they are able to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express more complex thoughts clearly (</w:t>
      </w:r>
      <w:proofErr w:type="spell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Lightbrown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and </w:t>
      </w:r>
      <w:proofErr w:type="spell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Spada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2006). The process is not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without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bumps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in the road, with overextensions (i.e. erroneously attributing a word to a larger group, such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lastRenderedPageBreak/>
        <w:t>as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>“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cow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 xml:space="preserve">”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to all four-legged animals), </w:t>
      </w:r>
      <w:proofErr w:type="spell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underextensions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(i.e. failure to realize a word may have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multiple contexts or usages), or overgeneralizations (i.e. improper verb conjugations based on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known grammatical patterns) leading to improper language use (O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>’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Grady and Cho 2001). </w:t>
      </w:r>
    </w:p>
    <w:p w:rsid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However, having learned from these mistakes, a normal child will emerge fluent in his or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her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native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language by the age of four. How does this language ascension happen so quickly? </w:t>
      </w:r>
    </w:p>
    <w:p w:rsid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</w:pP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  <w:t xml:space="preserve">L1 vs. L2 Acquisition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demonstrating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that they grasp grammatical concepts that allow them to say whatever they want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B14314">
        <w:rPr>
          <w:rFonts w:asciiTheme="majorBidi" w:eastAsia="Times New Roman" w:hAnsiTheme="majorBidi" w:cstheme="majorBidi"/>
          <w:color w:val="231F20"/>
          <w:spacing w:val="-5"/>
          <w:sz w:val="24"/>
          <w:szCs w:val="24"/>
          <w:lang w:val="en-US" w:eastAsia="fr-FR"/>
        </w:rPr>
        <w:t>to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5"/>
          <w:sz w:val="24"/>
          <w:szCs w:val="24"/>
          <w:lang w:val="en-US" w:eastAsia="fr-FR"/>
        </w:rPr>
        <w:t xml:space="preserve"> say. O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>’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Grady and Cho (2001) note that 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>“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simple memorization of a fixed inventory of words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and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sentences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 would not equip learners to deal with previously unheard utterances – a basic requisite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of normal language use.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 xml:space="preserve">” </w:t>
      </w:r>
    </w:p>
    <w:p w:rsid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Further behavior theorists expanded the theory to include language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frames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, or patterns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of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sentence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construction, based initially on imitation, but allowing room for expansion of natural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creativity (Brown 2007). However, critics still decried the lack of focus on social interaction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and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failure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to account for wider language abstractions within this theory. </w:t>
      </w:r>
    </w:p>
    <w:p w:rsid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</w:pP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</w:pPr>
    </w:p>
    <w:p w:rsid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</w:pPr>
    </w:p>
    <w:p w:rsid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</w:pPr>
    </w:p>
    <w:p w:rsid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</w:pPr>
    </w:p>
    <w:p w:rsid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</w:pPr>
    </w:p>
    <w:p w:rsid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</w:pPr>
    </w:p>
    <w:p w:rsid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</w:pPr>
    </w:p>
    <w:p w:rsid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</w:pPr>
    </w:p>
    <w:p w:rsid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</w:pPr>
    </w:p>
    <w:p w:rsid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</w:pPr>
    </w:p>
    <w:p w:rsid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</w:pPr>
    </w:p>
    <w:p w:rsid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</w:pPr>
    </w:p>
    <w:p w:rsid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</w:pPr>
    </w:p>
    <w:p w:rsid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</w:pPr>
    </w:p>
    <w:p w:rsid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</w:pPr>
    </w:p>
    <w:p w:rsid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</w:pPr>
    </w:p>
    <w:p w:rsid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</w:pPr>
    </w:p>
    <w:p w:rsid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  <w:lastRenderedPageBreak/>
        <w:t>Theories of language acquisition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  <w:t xml:space="preserve">Behaviorist Theory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Coming to light in the mid-twentieth century, the behaviorist theory of language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acquisition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argued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that children learn language primarily through the imitation of those around them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(</w:t>
      </w:r>
      <w:proofErr w:type="spell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Lightbrown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and </w:t>
      </w:r>
      <w:proofErr w:type="spell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Spada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2006). A child, seeking positive </w:t>
      </w:r>
      <w:r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reinforcement, would attempt to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reproduce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the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language he or she hears until such language becomes habitual. Utterances that do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not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produce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 the desired response are weeded out, while those that do result in the desired effect are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reproduced again. Thus, through constant trial and error, a child is able to put together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enough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language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 to develop a communicable pattern that gets the desired results.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However, the behaviorist theory is not without its critics. Brown (2007) points out that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the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behaviorist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</w:t>
      </w:r>
      <w:proofErr w:type="spell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theor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y does not account for language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>’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s abstract qualities; that is, following this theory,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how could one utter a thought or idea that has never been uttered before? Children show an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innate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knack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for creativity in language, yet they show few signs of imitating adults when doing so, instead </w:t>
      </w:r>
    </w:p>
    <w:p w:rsid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</w:pP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proofErr w:type="spellStart"/>
      <w:r w:rsidRPr="00B14314"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  <w:t>Nativist</w:t>
      </w:r>
      <w:proofErr w:type="spellEnd"/>
      <w:r w:rsidRPr="00B14314"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  <w:t xml:space="preserve"> Theory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Chomsky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>’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s </w:t>
      </w:r>
      <w:proofErr w:type="spellStart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nativist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 theory postulated that humans are born with an innate ability to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comprehend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language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and grammar. Rather than putting the emphasis on the environment, Chomsky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argued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that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the child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>’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s inborn ability to acquire L1 is no different than learning countless other essential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skills, and that the learning environment only determines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which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language a child will learn.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Macneill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(1996, in Brown 2007) describes children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>’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s minds to contain language acquisition devices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 xml:space="preserve">,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which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allow children to understand which sounds and utterances are relevant to speech, organize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and store the data for later use, and reject data that is not relevant to the linguistic system.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Later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theorists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advanced the notion of universal grammar, or a blanket language template that is able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to be molded to the L1 based on the input a child receives (Brown 2007). Chomsky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>’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s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theories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helped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fill in holes left by the behaviorists. If children possess an innate ability to understand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,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create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, and manipulate language, it will likely quickly lead to the originality and creativity found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in young first language learners. </w:t>
      </w:r>
      <w:proofErr w:type="spellStart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Nativist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 theorists first presented the critical period hypothesis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,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stating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that humans are programmed to acquire L1 during a specific time in their lives, specifically,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childhood. Beyond that age, the hypothesis states, a child or adult will never learn a language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at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the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same level as their native language. While generally believed for a child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>’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s L1 acquisition,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there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is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 debate as to whether or not this hypothesis holds true toward a timeframe for L2 acquisition.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  <w:lastRenderedPageBreak/>
        <w:t xml:space="preserve">Developmental Theory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Still other theorists argue that the primary base of language acquisition is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interaction </w:t>
      </w:r>
      <w:r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within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one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 xml:space="preserve">’s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learning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 environment. While acknowledging there are brain processes at work that cultivate one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 xml:space="preserve">’s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understanding of L1, </w:t>
      </w:r>
      <w:proofErr w:type="spell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Lightbrown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and </w:t>
      </w:r>
      <w:proofErr w:type="spell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Spada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(2006) content that children can acquire the essential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fundamentals of their L1 through freely available everyday receptive and productive interactions with their surroundings.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This concept can be expanded to acquiring one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>’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s native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culture</w:t>
      </w:r>
      <w:r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. Children are born into the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world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with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no concept of culture. From day one, however, </w:t>
      </w:r>
      <w:r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their world view begins to take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shape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around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them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, with language being a key factor. The language we speak, be it the words we have (or do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not have) to describe objects, feelings, or concepts, or the way language creates paradigms of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formality, politeness, and appropriateness, sculpts our sense of what is important and to be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highlighted in our culture. It is through these interactions that we become a functioning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member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of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our society, not only linguistically, but also socially. As an example, Japanese children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are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exposed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 to several layers of language formality to be used in different social contexts that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communicate similar or even identical ideas. Proper utilization of these layers may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differ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depending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on the individual child, but there is no arguing that children are aware of them and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can understand the roots of the reaction (either positive or negative) they receive from adults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when utilizing the language themselves, thus socializing themselves toward a cultural medium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that would be considered foreign in another culture with a dif</w:t>
      </w:r>
      <w:r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ferent linguistic formality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structure.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  <w:t xml:space="preserve">L2 Acquisition and Variables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To what extent then is L2 language acquisition similar to the theories of its L1 counterpart,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and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what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additional acquisition variables are present when students learn their second language?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Theories of Second Language Acquisition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Both the behaviorist and </w:t>
      </w:r>
      <w:proofErr w:type="spell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nativist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theories have their counterparts in L2 acquisition: behaviorists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see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L2 acquisition as the repetition of patterns of native speakers (leading to the development of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the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</w:t>
      </w:r>
      <w:proofErr w:type="spell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audiolingual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method), while </w:t>
      </w:r>
      <w:proofErr w:type="spell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nativists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continued their push of universal grammar, stating that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learners adapt their learning acquisition devices to develop command of new grammar systems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beyond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the input they receive in classes. These theorists analyze the success of L2 learners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in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their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grammatical resemblance of native speakers. However, </w:t>
      </w:r>
      <w:proofErr w:type="spell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Lightbrown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and </w:t>
      </w:r>
      <w:proofErr w:type="spell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Spada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(2006) caution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that 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>“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linguists have concluded that something [besides universal grammar] is required for second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language acquisition since it so often falls short of success.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 xml:space="preserve">”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Newer theories of second language acquisition focus on interaction as a key factor. While some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lastRenderedPageBreak/>
        <w:t>sociocultural theorists say that external interactions make up the root of all language acquisition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,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while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 others suggest these interactions act more as a springboard from which learners can begin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to better cultivate their understanding of language, both would agree that negotiation of meaning,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especially when in a difficult linguistic situation, encourages learners to formulate more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comprehensible output and thus further their level of language acquisition (</w:t>
      </w:r>
      <w:proofErr w:type="spell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Lightbrown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and </w:t>
      </w:r>
      <w:proofErr w:type="spell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Spada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2006).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  <w:t xml:space="preserve">The Classroom as Learning Environment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No matter which theory is used to understand first language acquisition, there is an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undeniable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difference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 between the learning context of a child learning L1 with his or her family and a student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learning L2 in a classroom. In the former, the learning environment is everyday life: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whether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spending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 time at home, grocery shopping, or going to the movies, a child is acquiring L1 simply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by absorbing the world around him or her.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Compare the above, however, to a classroom. In the traditional sense, a classroom is an </w:t>
      </w:r>
      <w:proofErr w:type="spellStart"/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intransient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environment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, complete with desks, a teaching podium, and a blackboard. </w:t>
      </w:r>
    </w:p>
    <w:p w:rsid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</w:pP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  <w:t xml:space="preserve">L1 vs. L2 Acquisition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While this may be conducive to schooling, as schools could hardly operate if students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were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allowed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to wander around all day, the static environment is hardly conducive toward the facilitation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of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 L2 acquisition. Students cannot be out in the world, cannot learn through everyday life, and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instead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are required to sit at desks, often with a teacher lecturing to them.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Upon utilization of more communicative teaching methods, such as Communicative Language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Teaching or Task-Based Learning, the latter of which is employed by the Bunkyo English </w:t>
      </w:r>
    </w:p>
    <w:p w:rsidR="00B14314" w:rsidRPr="00B14314" w:rsidRDefault="00B14314" w:rsidP="00555A3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Communication Center at Hiroshima Bunkyo Women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>’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s University, the classroom may become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a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more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dynamic environment. In these teaching methods, teachers attempt to facilitate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the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negotiation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of meaning between students in the target language, a construct similar to the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developmental theory of L1 acquisition. These methods encourage interactive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communication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while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demonstrating a genuine need for information transfer, both increasing learners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 xml:space="preserve">’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language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spontaneity and developing communicative competence. </w:t>
      </w:r>
      <w:proofErr w:type="spell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Skehan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et al (1996), however, point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out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that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such linguistic negotiation is often reliant upon prefabricated phrases and meanings.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Speakers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in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their L1 can employ such phrases to both save time and build upon shared background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knowledge of the task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>’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s context with their partner. Once this operation switches to the L2, as learners conduct the task under the pressures of a limited time frame, students may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lastRenderedPageBreak/>
        <w:t xml:space="preserve">become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too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reliant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on already learned linguistic chunks rather than incorporating the new language of the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task, in addition to paying less attention to new linguistic forms if they are present in the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instruction, thus potentially curtailing their long-term progress (</w:t>
      </w:r>
      <w:proofErr w:type="spellStart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Skehan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 et al 1996). Furthermore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,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considering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the Japanese scholastic context, these methods are less likely to be adopted due to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their relatively recent development and a lack of instructor training and/or instructor confidence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in his or her own L2 ability in the case of non-native teachers. </w:t>
      </w:r>
    </w:p>
    <w:p w:rsidR="00B14314" w:rsidRPr="00B14314" w:rsidRDefault="00B14314" w:rsidP="00555A3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At the other end of the spectrum, more static methods, such as the </w:t>
      </w:r>
      <w:proofErr w:type="spell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audiolingual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method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or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grammar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translation method, are still widespread in today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>’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s schools. In such classrooms,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little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transfer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 of meaning takes place between students, and often, students have very little reason to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open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their mouths during the lesson but to repeat what the teacher writes on the board. While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these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methods have their purpose, especially in terms of strengthening syntactic understanding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of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 the L2, they vary greatly from the patterns of L1 acquisition in children. Cook (1969) argues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that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these methods do not allow learners to mimic their own L1 acquisition, as the process of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creating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 incomplete utterances are rejected in favor of complete, corrected sentences toward a </w:t>
      </w:r>
    </w:p>
    <w:p w:rsidR="00B14314" w:rsidRPr="00B14314" w:rsidRDefault="00B14314" w:rsidP="00555A3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preferred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 form. As a result, natural patterns of experimentation and creativity, which lead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toward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linguistic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competence and confidence are stifled in order to focus on grammatical accuracy. </w:t>
      </w:r>
    </w:p>
    <w:p w:rsidR="00B14314" w:rsidRPr="00B14314" w:rsidRDefault="00B14314" w:rsidP="00555A3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555A34"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  <w:t xml:space="preserve">L1 vs. L2 </w:t>
      </w:r>
      <w:proofErr w:type="gramStart"/>
      <w:r w:rsidRPr="00555A34"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  <w:t xml:space="preserve">Acquisition </w:t>
      </w:r>
      <w:r w:rsidR="00555A34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text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, the danger of text that is too contrived is the inability to glean much real linguistic value from </w:t>
      </w:r>
      <w:r w:rsidR="00555A34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it. Especially when taught through grammar translation, it is much more difficult for one to add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grammar taught through contrived sentence patterns (sometimes hardly resembling a sentence </w:t>
      </w:r>
      <w:r w:rsidR="00555A34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a normal human would say!) into one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>’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s spontaneous language use. Furthermore, textbooks (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and </w:t>
      </w:r>
      <w:r w:rsidR="00555A34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>teachers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) may overemphasize some grammatical patterns and underemphasize others as part of </w:t>
      </w:r>
      <w:r w:rsidR="00555A34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a larger syllabus, even though the language taught does not quite match native L2 usage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(</w:t>
      </w:r>
      <w:proofErr w:type="spell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Lightbrown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and </w:t>
      </w:r>
      <w:proofErr w:type="spell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Spada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2006).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</w:t>
      </w:r>
    </w:p>
    <w:p w:rsidR="00B14314" w:rsidRPr="00B14314" w:rsidRDefault="00B14314" w:rsidP="00B1431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555A34">
        <w:rPr>
          <w:rFonts w:asciiTheme="majorBidi" w:eastAsia="Times New Roman" w:hAnsiTheme="majorBidi" w:cstheme="majorBidi"/>
          <w:b/>
          <w:bCs/>
          <w:color w:val="231F20"/>
          <w:spacing w:val="2"/>
          <w:sz w:val="24"/>
          <w:szCs w:val="24"/>
          <w:lang w:val="en-US" w:eastAsia="fr-FR"/>
        </w:rPr>
        <w:t xml:space="preserve">Time and Setting </w:t>
      </w:r>
    </w:p>
    <w:p w:rsidR="00B14314" w:rsidRPr="00B14314" w:rsidRDefault="00B14314" w:rsidP="00555A3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Another factor that complicates L2 acquisition is that students are busy with a variety of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subjects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that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may limit the time dedicated toward L2 learning. In Japan, for example, an average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student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in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junior high school studies English only three hours a week. Couple this with Japan being a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highly EFL environment (little opportunity is available to speak English outside of the classroom),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and teachers are faced with pressure to pack in as much as they can into those three hours, often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leading to learning situations that are highly abnormal when viewed through the lens of L1 acquisition. </w:t>
      </w:r>
      <w:proofErr w:type="spell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LaVan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(2001) notes that adolescent learners are much more likely to use L1 with each </w:t>
      </w:r>
    </w:p>
    <w:p w:rsidR="00B14314" w:rsidRPr="00B14314" w:rsidRDefault="00B14314" w:rsidP="00555A34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lastRenderedPageBreak/>
        <w:t>other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even in an immersion setting, as being able to communicate freely and easily is essential in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establishing social identity. Lacking the necessary linguistic competence to build </w:t>
      </w:r>
      <w:proofErr w:type="gram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these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relationships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in L2, students will see the L2 as an 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>“</w:t>
      </w:r>
      <w:r w:rsidRPr="00B14314">
        <w:rPr>
          <w:rFonts w:asciiTheme="majorBidi" w:eastAsia="Times New Roman" w:hAnsiTheme="majorBidi" w:cstheme="majorBidi"/>
          <w:color w:val="231F20"/>
          <w:spacing w:val="1"/>
          <w:sz w:val="24"/>
          <w:szCs w:val="24"/>
          <w:lang w:val="en-US" w:eastAsia="fr-FR"/>
        </w:rPr>
        <w:t>official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 xml:space="preserve">” </w:t>
      </w:r>
      <w:r w:rsidRPr="00B14314">
        <w:rPr>
          <w:rFonts w:asciiTheme="majorBidi" w:eastAsia="Times New Roman" w:hAnsiTheme="majorBidi" w:cstheme="majorBidi"/>
          <w:color w:val="231F20"/>
          <w:spacing w:val="-1"/>
          <w:sz w:val="24"/>
          <w:szCs w:val="24"/>
          <w:lang w:val="en-US" w:eastAsia="fr-FR"/>
        </w:rPr>
        <w:t xml:space="preserve">or 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>“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classroom</w:t>
      </w:r>
      <w:r w:rsidRPr="00B14314">
        <w:rPr>
          <w:rFonts w:asciiTheme="majorBidi" w:eastAsia="Times New Roman" w:hAnsiTheme="majorBidi" w:cstheme="majorBidi"/>
          <w:color w:val="231F20"/>
          <w:sz w:val="24"/>
          <w:szCs w:val="24"/>
          <w:lang w:val="en-US" w:eastAsia="fr-FR"/>
        </w:rPr>
        <w:t xml:space="preserve">”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language, while the L1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remains the dominant language of social networks and spontaneous interaction. </w:t>
      </w:r>
      <w:r w:rsidRPr="00555A3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As an L2 teacher</w:t>
      </w:r>
      <w:proofErr w:type="gramStart"/>
      <w:r w:rsidRPr="00555A3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,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it</w:t>
      </w:r>
      <w:proofErr w:type="gram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is important to recognize that L1 language use will nearly undoubtedly persist, and that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promotion and encouragement of L2 usage is more likely to lead to fruition than attempting to </w:t>
      </w:r>
      <w:r w:rsidR="00555A34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stamp out any usage of L1 in the classroom (</w:t>
      </w:r>
      <w:proofErr w:type="spellStart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>LaVan</w:t>
      </w:r>
      <w:proofErr w:type="spellEnd"/>
      <w:r w:rsidRPr="00B14314">
        <w:rPr>
          <w:rFonts w:asciiTheme="majorBidi" w:eastAsia="Times New Roman" w:hAnsiTheme="majorBidi" w:cstheme="majorBidi"/>
          <w:color w:val="231F20"/>
          <w:spacing w:val="-2"/>
          <w:sz w:val="24"/>
          <w:szCs w:val="24"/>
          <w:lang w:val="en-US" w:eastAsia="fr-FR"/>
        </w:rPr>
        <w:t xml:space="preserve"> 2001). </w:t>
      </w:r>
    </w:p>
    <w:p w:rsidR="00632A4E" w:rsidRPr="00B14314" w:rsidRDefault="00555A34" w:rsidP="00B14314">
      <w:pPr>
        <w:rPr>
          <w:lang w:val="en-US"/>
        </w:rPr>
      </w:pPr>
    </w:p>
    <w:sectPr w:rsidR="00632A4E" w:rsidRPr="00B14314" w:rsidSect="00C74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icBBBPro-Medium_2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314"/>
    <w:rsid w:val="0040758A"/>
    <w:rsid w:val="00555A34"/>
    <w:rsid w:val="0099335C"/>
    <w:rsid w:val="00B14314"/>
    <w:rsid w:val="00C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">
    <w:name w:val="t"/>
    <w:basedOn w:val="Policepardfaut"/>
    <w:rsid w:val="00B14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66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5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4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7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6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4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3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87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1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7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23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9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86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9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2388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guattaf</dc:creator>
  <cp:lastModifiedBy>guattaf</cp:lastModifiedBy>
  <cp:revision>1</cp:revision>
  <dcterms:created xsi:type="dcterms:W3CDTF">2025-01-02T16:03:00Z</dcterms:created>
  <dcterms:modified xsi:type="dcterms:W3CDTF">2025-01-02T16:19:00Z</dcterms:modified>
</cp:coreProperties>
</file>