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36"/>
          <w:szCs w:val="36"/>
        </w:rPr>
      </w:pPr>
      <w:r>
        <w:rPr>
          <w:rFonts w:ascii="Garamond,Bold" w:hAnsi="Garamond,Bold" w:cs="Garamond,Bold"/>
          <w:b/>
          <w:bCs/>
          <w:color w:val="000000"/>
          <w:sz w:val="36"/>
          <w:szCs w:val="36"/>
        </w:rPr>
        <w:t>Les ambiguïtés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Candara,Bold" w:hAnsi="Candara,Bold" w:cs="Candara,Bold"/>
          <w:b/>
          <w:bCs/>
          <w:color w:val="A7A7A7"/>
          <w:sz w:val="32"/>
          <w:szCs w:val="32"/>
        </w:rPr>
      </w:pPr>
      <w:r>
        <w:rPr>
          <w:rFonts w:ascii="Candara,Bold" w:hAnsi="Candara,Bold" w:cs="Candara,Bold"/>
          <w:b/>
          <w:bCs/>
          <w:color w:val="A7A7A7"/>
          <w:sz w:val="32"/>
          <w:szCs w:val="32"/>
        </w:rPr>
        <w:t>Objectif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ascii="Garamond" w:hAnsi="Garamond" w:cs="Garamond"/>
          <w:color w:val="000000"/>
          <w:sz w:val="24"/>
          <w:szCs w:val="24"/>
        </w:rPr>
        <w:t>Savoir repérer les ambiguïtés et être en mesure de les expliquer en termes linguistiques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Candara,Bold" w:hAnsi="Candara,Bold" w:cs="Candara,Bold"/>
          <w:b/>
          <w:bCs/>
          <w:color w:val="000000"/>
          <w:sz w:val="32"/>
          <w:szCs w:val="32"/>
        </w:rPr>
      </w:pPr>
      <w:r>
        <w:rPr>
          <w:rFonts w:ascii="Candara,Bold" w:hAnsi="Candara,Bold" w:cs="Candara,Bold"/>
          <w:b/>
          <w:bCs/>
          <w:color w:val="000000"/>
          <w:sz w:val="32"/>
          <w:szCs w:val="32"/>
        </w:rPr>
        <w:t>Plan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Qu’est-ce qu’une ambiguïté ?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Les ambiguïtés morphologiques et lexicales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2.1. Les termes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polycatégoriels</w:t>
      </w:r>
      <w:proofErr w:type="spellEnd"/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2.2. Les mots grammaticaux polysémiques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 Les ambigüités syntaxiques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 Le rattachement des syntagmes prépositionnels et adjectivaux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3.2. La fonction des syntagmes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 Les ambigüités prédicatives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4.1. Restituer les arguments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4.2. Restituer les prédications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4.3. Retrouver l’incidence des circonstants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Candara,Bold" w:hAnsi="Candara,Bold" w:cs="Candara,Bold"/>
          <w:b/>
          <w:bCs/>
          <w:color w:val="000000"/>
          <w:sz w:val="32"/>
          <w:szCs w:val="32"/>
        </w:rPr>
      </w:pPr>
      <w:r>
        <w:rPr>
          <w:rFonts w:ascii="Candara,Bold" w:hAnsi="Candara,Bold" w:cs="Candara,Bold"/>
          <w:b/>
          <w:bCs/>
          <w:color w:val="000000"/>
          <w:sz w:val="32"/>
          <w:szCs w:val="32"/>
        </w:rPr>
        <w:t>Références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20"/>
          <w:szCs w:val="20"/>
        </w:rPr>
      </w:pPr>
      <w:r>
        <w:rPr>
          <w:rFonts w:ascii="Candara" w:hAnsi="Candara" w:cs="Candara"/>
          <w:color w:val="000000"/>
          <w:sz w:val="20"/>
          <w:szCs w:val="20"/>
        </w:rPr>
        <w:t xml:space="preserve">Fuchs, C. (1996) </w:t>
      </w:r>
      <w:r>
        <w:rPr>
          <w:rFonts w:ascii="Candara,Italic" w:hAnsi="Candara,Italic" w:cs="Candara,Italic"/>
          <w:i/>
          <w:iCs/>
          <w:color w:val="000000"/>
          <w:sz w:val="20"/>
          <w:szCs w:val="20"/>
        </w:rPr>
        <w:t>Les ambiguïtés du français</w:t>
      </w:r>
      <w:r>
        <w:rPr>
          <w:rFonts w:ascii="Candara" w:hAnsi="Candara" w:cs="Candara"/>
          <w:color w:val="000000"/>
          <w:sz w:val="20"/>
          <w:szCs w:val="20"/>
        </w:rPr>
        <w:t>, Éditions Ophrys.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8"/>
          <w:szCs w:val="28"/>
        </w:rPr>
      </w:pPr>
      <w:r>
        <w:rPr>
          <w:rFonts w:ascii="Garamond,Bold" w:hAnsi="Garamond,Bold" w:cs="Garamond,Bold"/>
          <w:b/>
          <w:bCs/>
          <w:color w:val="000000"/>
          <w:sz w:val="28"/>
          <w:szCs w:val="28"/>
        </w:rPr>
        <w:t>1. Qu’est-ce qu’une ambiguïté ?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L’ambiguïté est inscrite au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coeur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de toutes les langues. Chacun se trouve confronté à ce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phénomène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.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Il y a ambiguïté lorsqu’à une forme unique correspondent plusieurs significations,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mutuellement</w:t>
      </w:r>
      <w:proofErr w:type="gramEnd"/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exclusives</w:t>
      </w:r>
      <w:r>
        <w:rPr>
          <w:rFonts w:ascii="Garamond" w:hAnsi="Garamond" w:cs="Garamond"/>
          <w:color w:val="000000"/>
          <w:sz w:val="24"/>
          <w:szCs w:val="24"/>
        </w:rPr>
        <w:t>, entre lesquelles le récepteur doit choisir.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On pourrait comparer les expressions ambiguës aux images susceptibles d’être « lues » de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deux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façons différentes, mutuellement exclusives, comme le célèbre portrait intitulé « Ma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femme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et ma belle-mère » de William Hill :</w:t>
      </w:r>
      <w:r w:rsidRPr="0036499A">
        <w:rPr>
          <w:rFonts w:ascii="Garamond" w:hAnsi="Garamond" w:cs="Garamond"/>
          <w:sz w:val="24"/>
          <w:szCs w:val="24"/>
        </w:rPr>
        <w:t xml:space="preserve"> </w:t>
      </w:r>
    </w:p>
    <w:p w:rsidR="0036499A" w:rsidRDefault="00F3350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Photo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Chacune des lectures de telles images ambiguës est exclusive de l’autre ; il a été montré que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la</w:t>
      </w:r>
      <w:proofErr w:type="gramEnd"/>
      <w:r>
        <w:rPr>
          <w:rFonts w:ascii="Garamond" w:hAnsi="Garamond" w:cs="Garamond"/>
          <w:sz w:val="24"/>
          <w:szCs w:val="24"/>
        </w:rPr>
        <w:t xml:space="preserve"> constitution d’une forme globale repose sur le rejet de l’autre structuration possible : si l’on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voit</w:t>
      </w:r>
      <w:proofErr w:type="gramEnd"/>
      <w:r>
        <w:rPr>
          <w:rFonts w:ascii="Garamond" w:hAnsi="Garamond" w:cs="Garamond"/>
          <w:sz w:val="24"/>
          <w:szCs w:val="24"/>
        </w:rPr>
        <w:t xml:space="preserve"> la jeune fille, on ne voit pas la vieille femme (et inversement), le passage d’une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configuration</w:t>
      </w:r>
      <w:proofErr w:type="gramEnd"/>
      <w:r>
        <w:rPr>
          <w:rFonts w:ascii="Garamond" w:hAnsi="Garamond" w:cs="Garamond"/>
          <w:sz w:val="24"/>
          <w:szCs w:val="24"/>
        </w:rPr>
        <w:t xml:space="preserve"> à l’autre supposant un effort volontaire de déstructuration puis de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restructuration</w:t>
      </w:r>
      <w:proofErr w:type="gramEnd"/>
      <w:r>
        <w:rPr>
          <w:rFonts w:ascii="Garamond" w:hAnsi="Garamond" w:cs="Garamond"/>
          <w:sz w:val="24"/>
          <w:szCs w:val="24"/>
        </w:rPr>
        <w:t>.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De la même façon, le récepteur placé devant une ambiguïté linguistique effective méconnaît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souvent</w:t>
      </w:r>
      <w:proofErr w:type="gramEnd"/>
      <w:r>
        <w:rPr>
          <w:rFonts w:ascii="Garamond" w:hAnsi="Garamond" w:cs="Garamond"/>
          <w:sz w:val="24"/>
          <w:szCs w:val="24"/>
        </w:rPr>
        <w:t xml:space="preserve"> l’existence de l’alternative : son interprétation tend alors à se fixer sur l’une des deux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solutions</w:t>
      </w:r>
      <w:proofErr w:type="gramEnd"/>
      <w:r>
        <w:rPr>
          <w:rFonts w:ascii="Garamond" w:hAnsi="Garamond" w:cs="Garamond"/>
          <w:sz w:val="24"/>
          <w:szCs w:val="24"/>
        </w:rPr>
        <w:t>, occultant ainsi l’accès à l’autre lecture. Cet effet de « bascule » dans la perception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des</w:t>
      </w:r>
      <w:proofErr w:type="gramEnd"/>
      <w:r>
        <w:rPr>
          <w:rFonts w:ascii="Garamond" w:hAnsi="Garamond" w:cs="Garamond"/>
          <w:sz w:val="24"/>
          <w:szCs w:val="24"/>
        </w:rPr>
        <w:t xml:space="preserve"> formes ambiguës, qu’elles soient visuelles ou linguistiques, s’explique par le caractère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,Bold" w:hAnsi="Garamond,Bold" w:cs="Garamond,Bold"/>
          <w:b/>
          <w:bCs/>
          <w:sz w:val="24"/>
          <w:szCs w:val="24"/>
        </w:rPr>
        <w:t>mutuellement</w:t>
      </w:r>
      <w:proofErr w:type="gramEnd"/>
      <w:r>
        <w:rPr>
          <w:rFonts w:ascii="Garamond,Bold" w:hAnsi="Garamond,Bold" w:cs="Garamond,Bold"/>
          <w:b/>
          <w:bCs/>
          <w:sz w:val="24"/>
          <w:szCs w:val="24"/>
        </w:rPr>
        <w:t xml:space="preserve"> exclusif </w:t>
      </w:r>
      <w:r>
        <w:rPr>
          <w:rFonts w:ascii="Garamond" w:hAnsi="Garamond" w:cs="Garamond"/>
          <w:sz w:val="24"/>
          <w:szCs w:val="24"/>
        </w:rPr>
        <w:t>des configurations signifiantes en concurrence : un choix est imposé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au</w:t>
      </w:r>
      <w:proofErr w:type="gramEnd"/>
      <w:r>
        <w:rPr>
          <w:rFonts w:ascii="Garamond" w:hAnsi="Garamond" w:cs="Garamond"/>
          <w:sz w:val="24"/>
          <w:szCs w:val="24"/>
        </w:rPr>
        <w:t xml:space="preserve"> récepteur, qu’il en ait conscience ou non.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L’ambiguïté est intéressante en pathologie car justement il a été montré que l’aphasique est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incapable</w:t>
      </w:r>
      <w:proofErr w:type="gramEnd"/>
      <w:r>
        <w:rPr>
          <w:rFonts w:ascii="Garamond" w:hAnsi="Garamond" w:cs="Garamond"/>
          <w:sz w:val="24"/>
          <w:szCs w:val="24"/>
        </w:rPr>
        <w:t xml:space="preserve"> de percevoir les deux solutions d’une phrase ambigüe. Par exemple, voici en (1)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une</w:t>
      </w:r>
      <w:proofErr w:type="gramEnd"/>
      <w:r>
        <w:rPr>
          <w:rFonts w:ascii="Garamond" w:hAnsi="Garamond" w:cs="Garamond"/>
          <w:sz w:val="24"/>
          <w:szCs w:val="24"/>
        </w:rPr>
        <w:t xml:space="preserve"> phrase proposée à un malade avec pour consigne : « Il manque un seul élément ». Il y a,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pour</w:t>
      </w:r>
      <w:proofErr w:type="gramEnd"/>
      <w:r>
        <w:rPr>
          <w:rFonts w:ascii="Garamond" w:hAnsi="Garamond" w:cs="Garamond"/>
          <w:sz w:val="24"/>
          <w:szCs w:val="24"/>
        </w:rPr>
        <w:t xml:space="preserve"> le normal, deux solutions de correction possible :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(1) On a trouvé les sous la tirelire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= il manque une préposition devant « la tirelire » : « On a trouvé les sous dans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la</w:t>
      </w:r>
      <w:proofErr w:type="gramEnd"/>
      <w:r>
        <w:rPr>
          <w:rFonts w:ascii="Garamond" w:hAnsi="Garamond" w:cs="Garamond"/>
          <w:sz w:val="24"/>
          <w:szCs w:val="24"/>
        </w:rPr>
        <w:t xml:space="preserve"> tirelire »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= il manque un nom après « les » : « On a trouvé les billets sous la tirelire »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Les aphasiques sont capables de corriger de la même façon qu’en a. mais ils sont incapables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de</w:t>
      </w:r>
      <w:proofErr w:type="gramEnd"/>
      <w:r>
        <w:rPr>
          <w:rFonts w:ascii="Garamond" w:hAnsi="Garamond" w:cs="Garamond"/>
          <w:sz w:val="24"/>
          <w:szCs w:val="24"/>
        </w:rPr>
        <w:t xml:space="preserve"> proposer l’autre solution. Si on leur fournit le nom « billets », leur réponse est la suivante :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« </w:t>
      </w:r>
      <w:proofErr w:type="gramStart"/>
      <w:r>
        <w:rPr>
          <w:rFonts w:ascii="Garamond" w:hAnsi="Garamond" w:cs="Garamond"/>
          <w:sz w:val="24"/>
          <w:szCs w:val="24"/>
        </w:rPr>
        <w:t>on</w:t>
      </w:r>
      <w:proofErr w:type="gramEnd"/>
      <w:r>
        <w:rPr>
          <w:rFonts w:ascii="Garamond" w:hAnsi="Garamond" w:cs="Garamond"/>
          <w:sz w:val="24"/>
          <w:szCs w:val="24"/>
        </w:rPr>
        <w:t xml:space="preserve"> a trouvé les billets dans la tirelire », qui correspond au sens de la phrase initiale.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L’aphasique adhère au premier statut linguistique de l’élément « sous » (en tant que nom) et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ne</w:t>
      </w:r>
      <w:proofErr w:type="gramEnd"/>
      <w:r>
        <w:rPr>
          <w:rFonts w:ascii="Garamond" w:hAnsi="Garamond" w:cs="Garamond"/>
          <w:sz w:val="24"/>
          <w:szCs w:val="24"/>
        </w:rPr>
        <w:t xml:space="preserve"> peut en envisager une autre (en tant que préposition par exemple). Il n’est donc plus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possible</w:t>
      </w:r>
      <w:proofErr w:type="gramEnd"/>
      <w:r>
        <w:rPr>
          <w:rFonts w:ascii="Garamond" w:hAnsi="Garamond" w:cs="Garamond"/>
          <w:sz w:val="24"/>
          <w:szCs w:val="24"/>
        </w:rPr>
        <w:t xml:space="preserve"> pour l’aphasique d’imputer à un même matériau linguistique, en l’occurrence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« </w:t>
      </w:r>
      <w:proofErr w:type="gramStart"/>
      <w:r>
        <w:rPr>
          <w:rFonts w:ascii="Garamond" w:hAnsi="Garamond" w:cs="Garamond"/>
          <w:sz w:val="24"/>
          <w:szCs w:val="24"/>
        </w:rPr>
        <w:t>sous</w:t>
      </w:r>
      <w:proofErr w:type="gramEnd"/>
      <w:r>
        <w:rPr>
          <w:rFonts w:ascii="Garamond" w:hAnsi="Garamond" w:cs="Garamond"/>
          <w:sz w:val="24"/>
          <w:szCs w:val="24"/>
        </w:rPr>
        <w:t xml:space="preserve"> », deux valeurs lexicales différentes.</w:t>
      </w:r>
    </w:p>
    <w:p w:rsidR="0036499A" w:rsidRDefault="0036499A" w:rsidP="0036499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 xml:space="preserve">La </w:t>
      </w:r>
      <w:r>
        <w:rPr>
          <w:rFonts w:ascii="Garamond,Bold" w:hAnsi="Garamond,Bold" w:cs="Garamond,Bold"/>
          <w:b/>
          <w:bCs/>
          <w:sz w:val="24"/>
          <w:szCs w:val="24"/>
        </w:rPr>
        <w:t>disparition de l’ambiguïté</w:t>
      </w:r>
      <w:r>
        <w:rPr>
          <w:rFonts w:ascii="Garamond" w:hAnsi="Garamond" w:cs="Garamond"/>
          <w:sz w:val="24"/>
          <w:szCs w:val="24"/>
        </w:rPr>
        <w:t>, non pas celle du lecteur qui lit l’énoncé de l’aphasique mais</w:t>
      </w:r>
    </w:p>
    <w:p w:rsidR="00992250" w:rsidRDefault="0036499A" w:rsidP="0036499A">
      <w:pPr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celle</w:t>
      </w:r>
      <w:proofErr w:type="gramEnd"/>
      <w:r>
        <w:rPr>
          <w:rFonts w:ascii="Garamond" w:hAnsi="Garamond" w:cs="Garamond"/>
          <w:sz w:val="24"/>
          <w:szCs w:val="24"/>
        </w:rPr>
        <w:t xml:space="preserve"> du malade lui-même, définit précisément le langage pathologique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8"/>
          <w:szCs w:val="28"/>
        </w:rPr>
      </w:pPr>
      <w:r>
        <w:rPr>
          <w:rFonts w:ascii="Garamond,Bold" w:hAnsi="Garamond,Bold" w:cs="Garamond,Bold"/>
          <w:b/>
          <w:bCs/>
          <w:color w:val="000000"/>
          <w:sz w:val="28"/>
          <w:szCs w:val="28"/>
        </w:rPr>
        <w:t>2. Les ambigüités morphologiques et lexicales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2.1. Les termes </w:t>
      </w:r>
      <w:proofErr w:type="spellStart"/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polycatégoriels</w:t>
      </w:r>
      <w:proofErr w:type="spellEnd"/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Pour comprendre le sens d’un mot dans une phrase, il faut déterminer correctement le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fonctionnement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syntaxique de ce mot, ce qui suppose au préalable de reconnaître sa catégorie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morphosyntaxique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. Or en français, de très nombreux mots, souvent parmi les plus fréquents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de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la langue, sont susceptibles d’être analysés en termes de plusieurs catégories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morphosyntaxiques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différentes : c’est ce qu’on appelle la </w:t>
      </w:r>
      <w:proofErr w:type="spellStart"/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polycatégorie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Ainsi, des mots comme </w:t>
      </w:r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 xml:space="preserve">bois, figure </w:t>
      </w:r>
      <w:r>
        <w:rPr>
          <w:rFonts w:ascii="Garamond" w:hAnsi="Garamond" w:cs="Garamond"/>
          <w:color w:val="000000"/>
          <w:sz w:val="24"/>
          <w:szCs w:val="24"/>
        </w:rPr>
        <w:t xml:space="preserve">ou </w:t>
      </w:r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 xml:space="preserve">cache </w:t>
      </w:r>
      <w:r>
        <w:rPr>
          <w:rFonts w:ascii="Garamond" w:hAnsi="Garamond" w:cs="Garamond"/>
          <w:color w:val="000000"/>
          <w:sz w:val="24"/>
          <w:szCs w:val="24"/>
        </w:rPr>
        <w:t>peuvent être des noms ou des verbes :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(2) Du </w:t>
      </w:r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 xml:space="preserve">bois </w:t>
      </w:r>
      <w:r>
        <w:rPr>
          <w:rFonts w:ascii="Garamond" w:hAnsi="Garamond" w:cs="Garamond"/>
          <w:color w:val="000000"/>
          <w:sz w:val="24"/>
          <w:szCs w:val="24"/>
        </w:rPr>
        <w:t xml:space="preserve">vert/Je </w:t>
      </w:r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 xml:space="preserve">bois </w:t>
      </w:r>
      <w:r>
        <w:rPr>
          <w:rFonts w:ascii="Garamond" w:hAnsi="Garamond" w:cs="Garamond"/>
          <w:color w:val="000000"/>
          <w:sz w:val="24"/>
          <w:szCs w:val="24"/>
        </w:rPr>
        <w:t>mon café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(3) Il se lave la </w:t>
      </w:r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>figure</w:t>
      </w:r>
      <w:r>
        <w:rPr>
          <w:rFonts w:ascii="Garamond" w:hAnsi="Garamond" w:cs="Garamond"/>
          <w:color w:val="000000"/>
          <w:sz w:val="24"/>
          <w:szCs w:val="24"/>
        </w:rPr>
        <w:t xml:space="preserve">/Il se </w:t>
      </w:r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 xml:space="preserve">figure </w:t>
      </w:r>
      <w:r>
        <w:rPr>
          <w:rFonts w:ascii="Garamond" w:hAnsi="Garamond" w:cs="Garamond"/>
          <w:color w:val="000000"/>
          <w:sz w:val="24"/>
          <w:szCs w:val="24"/>
        </w:rPr>
        <w:t>qu’il est arrivé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(4) Il a trouvé une bonne </w:t>
      </w:r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>cache</w:t>
      </w:r>
      <w:r>
        <w:rPr>
          <w:rFonts w:ascii="Garamond" w:hAnsi="Garamond" w:cs="Garamond"/>
          <w:color w:val="000000"/>
          <w:sz w:val="24"/>
          <w:szCs w:val="24"/>
        </w:rPr>
        <w:t xml:space="preserve">/Il </w:t>
      </w:r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 xml:space="preserve">cache </w:t>
      </w:r>
      <w:r>
        <w:rPr>
          <w:rFonts w:ascii="Garamond" w:hAnsi="Garamond" w:cs="Garamond"/>
          <w:color w:val="000000"/>
          <w:sz w:val="24"/>
          <w:szCs w:val="24"/>
        </w:rPr>
        <w:t>son trésor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De même, des mots aussi courants que </w:t>
      </w:r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 xml:space="preserve">le, la, les, l’ </w:t>
      </w:r>
      <w:r>
        <w:rPr>
          <w:rFonts w:ascii="Garamond" w:hAnsi="Garamond" w:cs="Garamond"/>
          <w:color w:val="000000"/>
          <w:sz w:val="24"/>
          <w:szCs w:val="24"/>
        </w:rPr>
        <w:t>sont tantôt des articles (définis), tantôt des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pronoms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(personnels en fonction d’objet) ; </w:t>
      </w:r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 xml:space="preserve">du </w:t>
      </w:r>
      <w:r>
        <w:rPr>
          <w:rFonts w:ascii="Garamond" w:hAnsi="Garamond" w:cs="Garamond"/>
          <w:color w:val="000000"/>
          <w:sz w:val="24"/>
          <w:szCs w:val="24"/>
        </w:rPr>
        <w:t xml:space="preserve">et </w:t>
      </w:r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 xml:space="preserve">des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sont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tantôt des articles (partitifs), tantôt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la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contraction d’une préposition et d’un article défini (</w:t>
      </w:r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>de + le, de + les</w:t>
      </w:r>
      <w:r>
        <w:rPr>
          <w:rFonts w:ascii="Garamond" w:hAnsi="Garamond" w:cs="Garamond"/>
          <w:color w:val="000000"/>
          <w:sz w:val="24"/>
          <w:szCs w:val="24"/>
        </w:rPr>
        <w:t>).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De telles ambiguïtés restent la plupart du temps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virtuelles</w:t>
      </w:r>
      <w:r>
        <w:rPr>
          <w:rFonts w:ascii="Garamond" w:hAnsi="Garamond" w:cs="Garamond"/>
          <w:color w:val="000000"/>
          <w:sz w:val="24"/>
          <w:szCs w:val="24"/>
        </w:rPr>
        <w:t>. La prise en compte du contexte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morphosyntaxique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immédiat entourant le mot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polycatégoriel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permet en effet souvent de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choisir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la bonne catégorie et donc la bonne signification : dès lors que </w:t>
      </w:r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 xml:space="preserve">bois </w:t>
      </w:r>
      <w:r>
        <w:rPr>
          <w:rFonts w:ascii="Garamond" w:hAnsi="Garamond" w:cs="Garamond"/>
          <w:color w:val="000000"/>
          <w:sz w:val="24"/>
          <w:szCs w:val="24"/>
        </w:rPr>
        <w:t xml:space="preserve">est précédé de </w:t>
      </w:r>
      <w:proofErr w:type="spellStart"/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>du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on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sait qu’il s’agit d’un nom, dès lors que </w:t>
      </w:r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 xml:space="preserve">bois </w:t>
      </w:r>
      <w:r>
        <w:rPr>
          <w:rFonts w:ascii="Garamond" w:hAnsi="Garamond" w:cs="Garamond"/>
          <w:color w:val="000000"/>
          <w:sz w:val="24"/>
          <w:szCs w:val="24"/>
        </w:rPr>
        <w:t xml:space="preserve">est précédé de </w:t>
      </w:r>
      <w:proofErr w:type="spellStart"/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>je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 on sait qu’il s’agit d’un verbe.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Il arrive pourtant qu’une phrase contenant plusieurs termes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polycatégoriels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soit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effectivement</w:t>
      </w:r>
      <w:proofErr w:type="gramEnd"/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ambiguë. En voici un exemple :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(5) Cet homme brave la tourmente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= cet homme courageux la harcèle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= cet homme affronte la tempête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Cette phrase est ambiguë car les mots qui la composent peuvent appartenir à différentes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catégories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. En effet, dans l’une des interprétations, « brave » est un adjectif, « la » un pronom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personnel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et « tourmente » un verbe ; dans l’autre interprétation, « brave » est un verbe, « la »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un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déterminant et « tourmente » un nom.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2.2. Les mots grammaticaux polysémiques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La polysémie affecte des unités de toutes catégories morphosyntaxiques : outre les unités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lexicales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(noms, verbes, adjectifs, adverbes), on la trouve également à l’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oeuvre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dans les unités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grammaticales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, comme les conjonctions, les prépositions, les adverbes, les auxiliaires, etc. Par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exemple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, avec les auxiliaires modaux :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(6) Pierre peut venir ce soir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= Il a la possibilité, la permission, de venir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= Il est possible qu’il vienne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Candara,Bold" w:hAnsi="Candara,Bold" w:cs="Candara,Bold"/>
          <w:b/>
          <w:bCs/>
          <w:color w:val="FFFFFF"/>
          <w:sz w:val="28"/>
          <w:szCs w:val="28"/>
        </w:rPr>
      </w:pPr>
      <w:r>
        <w:rPr>
          <w:rFonts w:ascii="Candara,Bold" w:hAnsi="Candara,Bold" w:cs="Candara,Bold"/>
          <w:b/>
          <w:bCs/>
          <w:color w:val="FFFFFF"/>
          <w:sz w:val="28"/>
          <w:szCs w:val="28"/>
        </w:rPr>
        <w:t>Exercice 1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Expliquez pourquoi les phrases suivantes sont ambiguës :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(1) La petite brise la glace</w:t>
      </w:r>
    </w:p>
    <w:p w:rsidR="0036499A" w:rsidRDefault="00F3350A" w:rsidP="00F3350A">
      <w:pPr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(2) Veux-tu voter pour moi ?</w:t>
      </w:r>
    </w:p>
    <w:p w:rsidR="00F3350A" w:rsidRDefault="00F3350A" w:rsidP="00F3350A">
      <w:pPr>
        <w:rPr>
          <w:rFonts w:ascii="Garamond" w:hAnsi="Garamond" w:cs="Garamond"/>
          <w:color w:val="000000"/>
          <w:sz w:val="24"/>
          <w:szCs w:val="24"/>
        </w:rPr>
      </w:pP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(3) Le cuisinier sale la note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(4) Vous devez le savoir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(5) Paul dort encore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8"/>
          <w:szCs w:val="28"/>
        </w:rPr>
      </w:pPr>
      <w:r>
        <w:rPr>
          <w:rFonts w:ascii="Garamond,Bold" w:hAnsi="Garamond,Bold" w:cs="Garamond,Bold"/>
          <w:b/>
          <w:bCs/>
          <w:sz w:val="28"/>
          <w:szCs w:val="28"/>
        </w:rPr>
        <w:t>3. Les ambigüités syntaxiques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Reconstruire la structure syntaxique de la phrase, c’est reconstituer les emboitements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successifs</w:t>
      </w:r>
      <w:proofErr w:type="gramEnd"/>
      <w:r>
        <w:rPr>
          <w:rFonts w:ascii="Garamond" w:hAnsi="Garamond" w:cs="Garamond"/>
          <w:sz w:val="24"/>
          <w:szCs w:val="24"/>
        </w:rPr>
        <w:t xml:space="preserve"> des syntagmes, c’est-à-dire la hiérarchie des constituants : pour savoir où rattacher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lastRenderedPageBreak/>
        <w:t>un</w:t>
      </w:r>
      <w:proofErr w:type="gramEnd"/>
      <w:r>
        <w:rPr>
          <w:rFonts w:ascii="Garamond" w:hAnsi="Garamond" w:cs="Garamond"/>
          <w:sz w:val="24"/>
          <w:szCs w:val="24"/>
        </w:rPr>
        <w:t xml:space="preserve"> syntagme, il faut pouvoir déterminer si ce syntagme est contenu ou non dans le syntagme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précédent</w:t>
      </w:r>
      <w:proofErr w:type="gramEnd"/>
      <w:r>
        <w:rPr>
          <w:rFonts w:ascii="Garamond" w:hAnsi="Garamond" w:cs="Garamond"/>
          <w:sz w:val="24"/>
          <w:szCs w:val="24"/>
        </w:rPr>
        <w:t>, c’est-à-dire délimiter les frontières des syntagmes à mesure que l’on tente de les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hiérarchiser</w:t>
      </w:r>
      <w:proofErr w:type="gramEnd"/>
      <w:r>
        <w:rPr>
          <w:rFonts w:ascii="Garamond" w:hAnsi="Garamond" w:cs="Garamond"/>
          <w:sz w:val="24"/>
          <w:szCs w:val="24"/>
        </w:rPr>
        <w:t>. Or ce travail, nécessaire à la compréhension de la phrase, se heurte généralement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à</w:t>
      </w:r>
      <w:proofErr w:type="gramEnd"/>
      <w:r>
        <w:rPr>
          <w:rFonts w:ascii="Garamond" w:hAnsi="Garamond" w:cs="Garamond"/>
          <w:sz w:val="24"/>
          <w:szCs w:val="24"/>
        </w:rPr>
        <w:t xml:space="preserve"> une multiplicité de solutions possibles.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</w:rPr>
      </w:pPr>
      <w:r>
        <w:rPr>
          <w:rFonts w:ascii="Garamond,Bold" w:hAnsi="Garamond,Bold" w:cs="Garamond,Bold"/>
          <w:b/>
          <w:bCs/>
          <w:sz w:val="24"/>
          <w:szCs w:val="24"/>
        </w:rPr>
        <w:t>3.1. Le rattachement des syntagmes prépositionnels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Un </w:t>
      </w:r>
      <w:r>
        <w:rPr>
          <w:rFonts w:ascii="Garamond,Bold" w:hAnsi="Garamond,Bold" w:cs="Garamond,Bold"/>
          <w:b/>
          <w:bCs/>
          <w:sz w:val="24"/>
          <w:szCs w:val="24"/>
        </w:rPr>
        <w:t xml:space="preserve">syntagme prépositionnel </w:t>
      </w:r>
      <w:r>
        <w:rPr>
          <w:rFonts w:ascii="Garamond" w:hAnsi="Garamond" w:cs="Garamond"/>
          <w:sz w:val="24"/>
          <w:szCs w:val="24"/>
        </w:rPr>
        <w:t>peut dépendre syntaxiquement d’un verbe, d’un adjectif ou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d’un</w:t>
      </w:r>
      <w:proofErr w:type="gramEnd"/>
      <w:r>
        <w:rPr>
          <w:rFonts w:ascii="Garamond" w:hAnsi="Garamond" w:cs="Garamond"/>
          <w:sz w:val="24"/>
          <w:szCs w:val="24"/>
        </w:rPr>
        <w:t xml:space="preserve"> nom. Il y a ambiguïté lorsque, dans une séquence, un groupe prépositionnel suit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plusieurs</w:t>
      </w:r>
      <w:proofErr w:type="gramEnd"/>
      <w:r>
        <w:rPr>
          <w:rFonts w:ascii="Garamond" w:hAnsi="Garamond" w:cs="Garamond"/>
          <w:sz w:val="24"/>
          <w:szCs w:val="24"/>
        </w:rPr>
        <w:t xml:space="preserve"> constituants de ce type, qui tous représentent des points de rattachement possibles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pour</w:t>
      </w:r>
      <w:proofErr w:type="gramEnd"/>
      <w:r>
        <w:rPr>
          <w:rFonts w:ascii="Garamond" w:hAnsi="Garamond" w:cs="Garamond"/>
          <w:sz w:val="24"/>
          <w:szCs w:val="24"/>
        </w:rPr>
        <w:t xml:space="preserve"> le groupe prépositionnel. Voici un exemple où le SP suit un nom qui lui-même suit le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verbe</w:t>
      </w:r>
      <w:proofErr w:type="gramEnd"/>
      <w:r>
        <w:rPr>
          <w:rFonts w:ascii="Garamond" w:hAnsi="Garamond" w:cs="Garamond"/>
          <w:sz w:val="24"/>
          <w:szCs w:val="24"/>
        </w:rPr>
        <w:t xml:space="preserve"> dont il est l’objet : le choix se joue entre un rattachement à N ou un rattachement à V :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(1) Paul regarde le toit de la tour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= C’est le toit de la tour que Paul regarde (V (N SP)) : le SP « de la tour » est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complément</w:t>
      </w:r>
      <w:proofErr w:type="gramEnd"/>
      <w:r>
        <w:rPr>
          <w:rFonts w:ascii="Garamond" w:hAnsi="Garamond" w:cs="Garamond"/>
          <w:sz w:val="24"/>
          <w:szCs w:val="24"/>
        </w:rPr>
        <w:t xml:space="preserve"> du nom « toit »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= C’est de la tour que Paul regarde le toit ((V N) SP) : le SP « de la tour » est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complément</w:t>
      </w:r>
      <w:proofErr w:type="gramEnd"/>
      <w:r>
        <w:rPr>
          <w:rFonts w:ascii="Garamond" w:hAnsi="Garamond" w:cs="Garamond"/>
          <w:sz w:val="24"/>
          <w:szCs w:val="24"/>
        </w:rPr>
        <w:t xml:space="preserve"> circonstanciel de lieu du verbe « regarder »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Un </w:t>
      </w:r>
      <w:r>
        <w:rPr>
          <w:rFonts w:ascii="Garamond,Bold" w:hAnsi="Garamond,Bold" w:cs="Garamond,Bold"/>
          <w:b/>
          <w:bCs/>
          <w:sz w:val="24"/>
          <w:szCs w:val="24"/>
        </w:rPr>
        <w:t xml:space="preserve">syntagme adjectival </w:t>
      </w:r>
      <w:r>
        <w:rPr>
          <w:rFonts w:ascii="Garamond" w:hAnsi="Garamond" w:cs="Garamond"/>
          <w:sz w:val="24"/>
          <w:szCs w:val="24"/>
        </w:rPr>
        <w:t>peut dépendre syntaxiquement d’un nom ou de certains verbes. Il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y</w:t>
      </w:r>
      <w:proofErr w:type="gramEnd"/>
      <w:r>
        <w:rPr>
          <w:rFonts w:ascii="Garamond" w:hAnsi="Garamond" w:cs="Garamond"/>
          <w:sz w:val="24"/>
          <w:szCs w:val="24"/>
        </w:rPr>
        <w:t xml:space="preserve"> a ambiguïté lorsque, dans une séquence, un syntagme adjectival suit plusieurs constituants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de</w:t>
      </w:r>
      <w:proofErr w:type="gramEnd"/>
      <w:r>
        <w:rPr>
          <w:rFonts w:ascii="Garamond" w:hAnsi="Garamond" w:cs="Garamond"/>
          <w:sz w:val="24"/>
          <w:szCs w:val="24"/>
        </w:rPr>
        <w:t xml:space="preserve"> ce type, qui sont autant de points de rattachement possibles. Voici un exemple où l’adjectif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suit</w:t>
      </w:r>
      <w:proofErr w:type="gramEnd"/>
      <w:r>
        <w:rPr>
          <w:rFonts w:ascii="Garamond" w:hAnsi="Garamond" w:cs="Garamond"/>
          <w:sz w:val="24"/>
          <w:szCs w:val="24"/>
        </w:rPr>
        <w:t xml:space="preserve"> un nom objet qui lui-même suit un verbe :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(2) Je bois mon café chaud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= mon café chaud, je le bois ; c’est mon café chaud que je bois (V (N A)) : l’adjectif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« </w:t>
      </w:r>
      <w:proofErr w:type="gramStart"/>
      <w:r>
        <w:rPr>
          <w:rFonts w:ascii="Garamond" w:hAnsi="Garamond" w:cs="Garamond"/>
          <w:sz w:val="24"/>
          <w:szCs w:val="24"/>
        </w:rPr>
        <w:t>chaud</w:t>
      </w:r>
      <w:proofErr w:type="gramEnd"/>
      <w:r>
        <w:rPr>
          <w:rFonts w:ascii="Garamond" w:hAnsi="Garamond" w:cs="Garamond"/>
          <w:sz w:val="24"/>
          <w:szCs w:val="24"/>
        </w:rPr>
        <w:t xml:space="preserve"> » est épithète liée au nom « café »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= mon café, je le bois chaud ; c’est mon café que je bois chaud ((V N) A) : l’adjectif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« </w:t>
      </w:r>
      <w:proofErr w:type="gramStart"/>
      <w:r>
        <w:rPr>
          <w:rFonts w:ascii="Garamond" w:hAnsi="Garamond" w:cs="Garamond"/>
          <w:sz w:val="24"/>
          <w:szCs w:val="24"/>
        </w:rPr>
        <w:t>chaud</w:t>
      </w:r>
      <w:proofErr w:type="gramEnd"/>
      <w:r>
        <w:rPr>
          <w:rFonts w:ascii="Garamond" w:hAnsi="Garamond" w:cs="Garamond"/>
          <w:sz w:val="24"/>
          <w:szCs w:val="24"/>
        </w:rPr>
        <w:t xml:space="preserve"> » est attribut de l’objet « mon café »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</w:rPr>
      </w:pPr>
      <w:r>
        <w:rPr>
          <w:rFonts w:ascii="Garamond,Bold" w:hAnsi="Garamond,Bold" w:cs="Garamond,Bold"/>
          <w:b/>
          <w:bCs/>
          <w:sz w:val="24"/>
          <w:szCs w:val="24"/>
        </w:rPr>
        <w:t>3.2. La fonction des syntagmes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Les ambiguïtés qui ont trait à la fonction des syntagmes tiennent d’une part à ce qu’une même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marque</w:t>
      </w:r>
      <w:proofErr w:type="gramEnd"/>
      <w:r>
        <w:rPr>
          <w:rFonts w:ascii="Garamond" w:hAnsi="Garamond" w:cs="Garamond"/>
          <w:sz w:val="24"/>
          <w:szCs w:val="24"/>
        </w:rPr>
        <w:t xml:space="preserve"> grammaticale (ou une absence de marque) peut correspondre à plusieurs fonctions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distinctes</w:t>
      </w:r>
      <w:proofErr w:type="gramEnd"/>
      <w:r>
        <w:rPr>
          <w:rFonts w:ascii="Garamond" w:hAnsi="Garamond" w:cs="Garamond"/>
          <w:sz w:val="24"/>
          <w:szCs w:val="24"/>
        </w:rPr>
        <w:t>, et d’autre part à ce qu’une même place sur la chaîne peut être occupée par des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termes</w:t>
      </w:r>
      <w:proofErr w:type="gramEnd"/>
      <w:r>
        <w:rPr>
          <w:rFonts w:ascii="Garamond" w:hAnsi="Garamond" w:cs="Garamond"/>
          <w:sz w:val="24"/>
          <w:szCs w:val="24"/>
        </w:rPr>
        <w:t xml:space="preserve"> ayant une fonction différente.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Ainsi l’incertitude sur la fonction syntaxique d’un terme donné peut être due à </w:t>
      </w:r>
      <w:r>
        <w:rPr>
          <w:rFonts w:ascii="Garamond,Bold" w:hAnsi="Garamond,Bold" w:cs="Garamond,Bold"/>
          <w:b/>
          <w:bCs/>
          <w:sz w:val="24"/>
          <w:szCs w:val="24"/>
        </w:rPr>
        <w:t>l’absence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,Bold" w:hAnsi="Garamond,Bold" w:cs="Garamond,Bold"/>
          <w:b/>
          <w:bCs/>
          <w:sz w:val="24"/>
          <w:szCs w:val="24"/>
        </w:rPr>
        <w:t>d’une</w:t>
      </w:r>
      <w:proofErr w:type="gramEnd"/>
      <w:r>
        <w:rPr>
          <w:rFonts w:ascii="Garamond,Bold" w:hAnsi="Garamond,Bold" w:cs="Garamond,Bold"/>
          <w:b/>
          <w:bCs/>
          <w:sz w:val="24"/>
          <w:szCs w:val="24"/>
        </w:rPr>
        <w:t xml:space="preserve"> unité grammaticale </w:t>
      </w:r>
      <w:r>
        <w:rPr>
          <w:rFonts w:ascii="Garamond" w:hAnsi="Garamond" w:cs="Garamond"/>
          <w:sz w:val="24"/>
          <w:szCs w:val="24"/>
        </w:rPr>
        <w:t>explicite, par exemple :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(3) Il attend la nuit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= il attend que la nuit vienne (objet direct)</w:t>
      </w:r>
    </w:p>
    <w:p w:rsidR="00F3350A" w:rsidRDefault="00F3350A" w:rsidP="00F3350A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= il attend (quelque chose ou quelqu’un) pendant la nuit (circonstant de temps)</w:t>
      </w:r>
    </w:p>
    <w:p w:rsidR="00F3350A" w:rsidRDefault="00F3350A" w:rsidP="00F3350A">
      <w:pPr>
        <w:rPr>
          <w:rFonts w:ascii="Garamond" w:hAnsi="Garamond" w:cs="Garamond"/>
          <w:sz w:val="24"/>
          <w:szCs w:val="24"/>
        </w:rPr>
      </w:pP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Il existe des places ambiguës, qui, dans certaines constructions syntaxiques, peuvent être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occupées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par des termes assurant des fonctions différentes. Parmi ces constructions, on peut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citer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notamment les constructions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interrogatives partielles</w:t>
      </w:r>
      <w:r>
        <w:rPr>
          <w:rFonts w:ascii="Garamond" w:hAnsi="Garamond" w:cs="Garamond"/>
          <w:color w:val="000000"/>
          <w:sz w:val="24"/>
          <w:szCs w:val="24"/>
        </w:rPr>
        <w:t>, comme :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(4) Quel auteur cite ce conférencier ?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= quel est l’auteur qui (sujet) cite ce conférencier (objet) ?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= quel auteur (objet) ce conférencier (sujet) cite-t-il ?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Candara,Bold" w:hAnsi="Candara,Bold" w:cs="Candara,Bold"/>
          <w:b/>
          <w:bCs/>
          <w:color w:val="FFFFFF"/>
          <w:sz w:val="28"/>
          <w:szCs w:val="28"/>
        </w:rPr>
      </w:pPr>
      <w:r>
        <w:rPr>
          <w:rFonts w:ascii="Candara,Bold" w:hAnsi="Candara,Bold" w:cs="Candara,Bold"/>
          <w:b/>
          <w:bCs/>
          <w:color w:val="FFFFFF"/>
          <w:sz w:val="28"/>
          <w:szCs w:val="28"/>
        </w:rPr>
        <w:t>Exercice 2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Expliquez pourquoi les phrases suivantes sont ambiguës :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(1) Il a retrouvé la voiture endommagée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(2) Il a dit qu’il donnerait son avis par fax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(3) J’ai parlé au professeur de football américain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(4) Laissez-moi cinq minutes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(5) Nadine couvre la corbeille de fleurs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(6) J’ignore quels ennemis redoutaient les soldats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8"/>
          <w:szCs w:val="28"/>
        </w:rPr>
      </w:pPr>
      <w:r>
        <w:rPr>
          <w:rFonts w:ascii="Garamond,Bold" w:hAnsi="Garamond,Bold" w:cs="Garamond,Bold"/>
          <w:b/>
          <w:bCs/>
          <w:color w:val="000000"/>
          <w:sz w:val="28"/>
          <w:szCs w:val="28"/>
        </w:rPr>
        <w:lastRenderedPageBreak/>
        <w:t>4. Les ambiguïtés prédicatives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Les ambiguïtés prédicatives concernent la structuration de la phrase en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propositions </w:t>
      </w:r>
      <w:proofErr w:type="spellStart"/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sousjacentes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Il s’agit de retrouver les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relations prédicatives </w:t>
      </w:r>
      <w:r>
        <w:rPr>
          <w:rFonts w:ascii="Garamond" w:hAnsi="Garamond" w:cs="Garamond"/>
          <w:color w:val="000000"/>
          <w:sz w:val="24"/>
          <w:szCs w:val="24"/>
        </w:rPr>
        <w:t>qui articulent prédicats, arguments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et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circonstants, c’est-à-dire d’identifier ces différents éléments et de reconstituer des relations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non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immédiatement appréhendables « en surface ».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4.1. Restituer les arguments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Il existe en français certaines constructions dans lesquelles un groupe nominal donné peut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être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interprété de plusieurs façons quant au type d’argument qu’il représente par rapport au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prédicat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. Ce sont en particulier des constructions avec un verbe à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l’infinitif</w:t>
      </w:r>
      <w:r>
        <w:rPr>
          <w:rFonts w:ascii="Garamond" w:hAnsi="Garamond" w:cs="Garamond"/>
          <w:color w:val="000000"/>
          <w:sz w:val="24"/>
          <w:szCs w:val="24"/>
        </w:rPr>
        <w:t>, et des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constructions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avec une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nominalisation</w:t>
      </w:r>
      <w:r>
        <w:rPr>
          <w:rFonts w:ascii="Garamond" w:hAnsi="Garamond" w:cs="Garamond"/>
          <w:color w:val="000000"/>
          <w:sz w:val="24"/>
          <w:szCs w:val="24"/>
        </w:rPr>
        <w:t>.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Ainsi, dans une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construction causative </w:t>
      </w:r>
      <w:r>
        <w:rPr>
          <w:rFonts w:ascii="Garamond" w:hAnsi="Garamond" w:cs="Garamond"/>
          <w:color w:val="000000"/>
          <w:sz w:val="24"/>
          <w:szCs w:val="24"/>
        </w:rPr>
        <w:t>(</w:t>
      </w:r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 xml:space="preserve">faire </w:t>
      </w:r>
      <w:r>
        <w:rPr>
          <w:rFonts w:ascii="Garamond" w:hAnsi="Garamond" w:cs="Garamond"/>
          <w:color w:val="000000"/>
          <w:sz w:val="24"/>
          <w:szCs w:val="24"/>
        </w:rPr>
        <w:t xml:space="preserve">+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Vinf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), un nom objet du complexe verbal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suit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le verbe à l’infinitif, ou bien un pronom clitique objet précède ce complexe. Ce nom (ou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ce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pronom) peut être compris soit comme premier argument, soit comme second argument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du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prédicat que représente le verbe à l’infinitif. Par exemple :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(1) Faites-le voir !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= faites qu’il voie ! (</w:t>
      </w:r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 xml:space="preserve">le </w:t>
      </w:r>
      <w:r>
        <w:rPr>
          <w:rFonts w:ascii="Garamond" w:hAnsi="Garamond" w:cs="Garamond"/>
          <w:color w:val="000000"/>
          <w:sz w:val="24"/>
          <w:szCs w:val="24"/>
        </w:rPr>
        <w:t xml:space="preserve">= support du verbe </w:t>
      </w:r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>voir</w:t>
      </w:r>
      <w:r>
        <w:rPr>
          <w:rFonts w:ascii="Garamond" w:hAnsi="Garamond" w:cs="Garamond"/>
          <w:color w:val="000000"/>
          <w:sz w:val="24"/>
          <w:szCs w:val="24"/>
        </w:rPr>
        <w:t>)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= faites qu’on le voie, montrez-le ! (le = objet du verbe voir)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Dans le même type de construction, le nom objet du verbe à l’infinitif est suivi d’un groupe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prépositionnel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constitué d’un nom introduit par </w:t>
      </w:r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>à</w:t>
      </w:r>
      <w:r>
        <w:rPr>
          <w:rFonts w:ascii="Garamond" w:hAnsi="Garamond" w:cs="Garamond"/>
          <w:color w:val="000000"/>
          <w:sz w:val="24"/>
          <w:szCs w:val="24"/>
        </w:rPr>
        <w:t>, ou bien un pronom clitique (équivalent à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« </w:t>
      </w:r>
      <w:proofErr w:type="gramStart"/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>à</w:t>
      </w:r>
      <w:proofErr w:type="gramEnd"/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N ») précède </w:t>
      </w:r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>faire</w:t>
      </w:r>
      <w:r>
        <w:rPr>
          <w:rFonts w:ascii="Garamond" w:hAnsi="Garamond" w:cs="Garamond"/>
          <w:color w:val="000000"/>
          <w:sz w:val="24"/>
          <w:szCs w:val="24"/>
        </w:rPr>
        <w:t xml:space="preserve">. Le groupe « </w:t>
      </w:r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 xml:space="preserve">à </w:t>
      </w:r>
      <w:r>
        <w:rPr>
          <w:rFonts w:ascii="Garamond" w:hAnsi="Garamond" w:cs="Garamond"/>
          <w:color w:val="000000"/>
          <w:sz w:val="24"/>
          <w:szCs w:val="24"/>
        </w:rPr>
        <w:t>N » ou le pronom clitique est susceptible d’être compris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soit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comme premier argument, soit comme troisième argument (bénéficiaire) du prédicat.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Par exemple :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(2) J’ai fait faire un costume à Pierre</w:t>
      </w:r>
    </w:p>
    <w:p w:rsidR="00F3350A" w:rsidRDefault="00F3350A" w:rsidP="00F335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= j’ai fait faire un costume par Pierre (Pierre = agent du prédicat « faire »)</w:t>
      </w:r>
    </w:p>
    <w:p w:rsidR="00F3350A" w:rsidRDefault="00F3350A" w:rsidP="00F3350A">
      <w:pPr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= j’ai fait faire un costume pour Pierre (Pierre = bénéficiaire du prédicat « faire »)</w:t>
      </w:r>
    </w:p>
    <w:p w:rsidR="00F3350A" w:rsidRDefault="00F3350A" w:rsidP="00F3350A">
      <w:pPr>
        <w:rPr>
          <w:rFonts w:ascii="Garamond" w:hAnsi="Garamond" w:cs="Garamond"/>
          <w:color w:val="000000"/>
          <w:sz w:val="24"/>
          <w:szCs w:val="24"/>
        </w:rPr>
      </w:pP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Concernant les constructions où un prédicat apparaît sous forme d’une </w:t>
      </w:r>
      <w:r>
        <w:rPr>
          <w:rFonts w:ascii="Garamond,Bold" w:hAnsi="Garamond,Bold" w:cs="Garamond,Bold"/>
          <w:b/>
          <w:bCs/>
          <w:sz w:val="24"/>
          <w:szCs w:val="24"/>
        </w:rPr>
        <w:t xml:space="preserve">nominalisation </w:t>
      </w:r>
      <w:r>
        <w:rPr>
          <w:rFonts w:ascii="Garamond" w:hAnsi="Garamond" w:cs="Garamond"/>
          <w:sz w:val="24"/>
          <w:szCs w:val="24"/>
        </w:rPr>
        <w:t>(il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s’agit</w:t>
      </w:r>
      <w:proofErr w:type="gramEnd"/>
      <w:r>
        <w:rPr>
          <w:rFonts w:ascii="Garamond" w:hAnsi="Garamond" w:cs="Garamond"/>
          <w:sz w:val="24"/>
          <w:szCs w:val="24"/>
        </w:rPr>
        <w:t xml:space="preserve"> de structures du type : N1 </w:t>
      </w:r>
      <w:r>
        <w:rPr>
          <w:rFonts w:ascii="Garamond,Italic" w:hAnsi="Garamond,Italic" w:cs="Garamond,Italic"/>
          <w:i/>
          <w:iCs/>
          <w:sz w:val="24"/>
          <w:szCs w:val="24"/>
        </w:rPr>
        <w:t xml:space="preserve">de </w:t>
      </w:r>
      <w:r>
        <w:rPr>
          <w:rFonts w:ascii="Garamond" w:hAnsi="Garamond" w:cs="Garamond"/>
          <w:sz w:val="24"/>
          <w:szCs w:val="24"/>
        </w:rPr>
        <w:t>N2, où N1 est un prédicat nominalisé), la question est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alors</w:t>
      </w:r>
      <w:proofErr w:type="gramEnd"/>
      <w:r>
        <w:rPr>
          <w:rFonts w:ascii="Garamond" w:hAnsi="Garamond" w:cs="Garamond"/>
          <w:sz w:val="24"/>
          <w:szCs w:val="24"/>
        </w:rPr>
        <w:t xml:space="preserve"> de savoir si le N2 doit se comprendre comme premier ou comme second argument du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prédicat</w:t>
      </w:r>
      <w:proofErr w:type="gramEnd"/>
      <w:r>
        <w:rPr>
          <w:rFonts w:ascii="Garamond" w:hAnsi="Garamond" w:cs="Garamond"/>
          <w:sz w:val="24"/>
          <w:szCs w:val="24"/>
        </w:rPr>
        <w:t xml:space="preserve"> réalisé sous la forme nominale N1. Par exemple :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(3) Le choix du médecin peut se discuter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= le choix que fait le médecin (</w:t>
      </w:r>
      <w:r>
        <w:rPr>
          <w:rFonts w:ascii="Garamond,Italic" w:hAnsi="Garamond,Italic" w:cs="Garamond,Italic"/>
          <w:i/>
          <w:iCs/>
          <w:sz w:val="24"/>
          <w:szCs w:val="24"/>
        </w:rPr>
        <w:t xml:space="preserve">médecin </w:t>
      </w:r>
      <w:r>
        <w:rPr>
          <w:rFonts w:ascii="Garamond" w:hAnsi="Garamond" w:cs="Garamond"/>
          <w:sz w:val="24"/>
          <w:szCs w:val="24"/>
        </w:rPr>
        <w:t>= premier argument du prédicat « choisir »)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= le choix que (le patient) fait du médecin (</w:t>
      </w:r>
      <w:r>
        <w:rPr>
          <w:rFonts w:ascii="Garamond,Italic" w:hAnsi="Garamond,Italic" w:cs="Garamond,Italic"/>
          <w:i/>
          <w:iCs/>
          <w:sz w:val="24"/>
          <w:szCs w:val="24"/>
        </w:rPr>
        <w:t xml:space="preserve">médecin </w:t>
      </w:r>
      <w:r>
        <w:rPr>
          <w:rFonts w:ascii="Garamond" w:hAnsi="Garamond" w:cs="Garamond"/>
          <w:sz w:val="24"/>
          <w:szCs w:val="24"/>
        </w:rPr>
        <w:t>= second argument du prédicat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« </w:t>
      </w:r>
      <w:proofErr w:type="gramStart"/>
      <w:r>
        <w:rPr>
          <w:rFonts w:ascii="Garamond" w:hAnsi="Garamond" w:cs="Garamond"/>
          <w:sz w:val="24"/>
          <w:szCs w:val="24"/>
        </w:rPr>
        <w:t>choisir</w:t>
      </w:r>
      <w:proofErr w:type="gramEnd"/>
      <w:r>
        <w:rPr>
          <w:rFonts w:ascii="Garamond" w:hAnsi="Garamond" w:cs="Garamond"/>
          <w:sz w:val="24"/>
          <w:szCs w:val="24"/>
        </w:rPr>
        <w:t xml:space="preserve"> »)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</w:rPr>
      </w:pPr>
      <w:r>
        <w:rPr>
          <w:rFonts w:ascii="Garamond,Bold" w:hAnsi="Garamond,Bold" w:cs="Garamond,Bold"/>
          <w:b/>
          <w:bCs/>
          <w:sz w:val="24"/>
          <w:szCs w:val="24"/>
        </w:rPr>
        <w:t>4.2. Restituer les prédications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 existe en français certaines constructions dans lesquelles la présence en surface d’un groupe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peut</w:t>
      </w:r>
      <w:proofErr w:type="gramEnd"/>
      <w:r>
        <w:rPr>
          <w:rFonts w:ascii="Garamond" w:hAnsi="Garamond" w:cs="Garamond"/>
          <w:sz w:val="24"/>
          <w:szCs w:val="24"/>
        </w:rPr>
        <w:t xml:space="preserve"> être interprétée de plusieurs manières, selon la façon dont on restitue les relations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prédicatives</w:t>
      </w:r>
      <w:proofErr w:type="gramEnd"/>
      <w:r>
        <w:rPr>
          <w:rFonts w:ascii="Garamond" w:hAnsi="Garamond" w:cs="Garamond"/>
          <w:sz w:val="24"/>
          <w:szCs w:val="24"/>
        </w:rPr>
        <w:t xml:space="preserve"> sous-jacentes. Il s’agit d’une part de constructions dites </w:t>
      </w:r>
      <w:r>
        <w:rPr>
          <w:rFonts w:ascii="Garamond,Bold" w:hAnsi="Garamond,Bold" w:cs="Garamond,Bold"/>
          <w:b/>
          <w:bCs/>
          <w:sz w:val="24"/>
          <w:szCs w:val="24"/>
        </w:rPr>
        <w:t xml:space="preserve">elliptiques </w:t>
      </w:r>
      <w:r>
        <w:rPr>
          <w:rFonts w:ascii="Garamond" w:hAnsi="Garamond" w:cs="Garamond"/>
          <w:sz w:val="24"/>
          <w:szCs w:val="24"/>
        </w:rPr>
        <w:t>et d’autre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part</w:t>
      </w:r>
      <w:proofErr w:type="gramEnd"/>
      <w:r>
        <w:rPr>
          <w:rFonts w:ascii="Garamond" w:hAnsi="Garamond" w:cs="Garamond"/>
          <w:sz w:val="24"/>
          <w:szCs w:val="24"/>
        </w:rPr>
        <w:t xml:space="preserve"> de constructions dites </w:t>
      </w:r>
      <w:r>
        <w:rPr>
          <w:rFonts w:ascii="Garamond,Bold" w:hAnsi="Garamond,Bold" w:cs="Garamond,Bold"/>
          <w:b/>
          <w:bCs/>
          <w:sz w:val="24"/>
          <w:szCs w:val="24"/>
        </w:rPr>
        <w:t>réduites</w:t>
      </w:r>
      <w:r>
        <w:rPr>
          <w:rFonts w:ascii="Garamond" w:hAnsi="Garamond" w:cs="Garamond"/>
          <w:sz w:val="24"/>
          <w:szCs w:val="24"/>
        </w:rPr>
        <w:t>.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On peut considérer qu’il y a ellipse dans les constructions </w:t>
      </w:r>
      <w:r>
        <w:rPr>
          <w:rFonts w:ascii="Garamond,Bold" w:hAnsi="Garamond,Bold" w:cs="Garamond,Bold"/>
          <w:b/>
          <w:bCs/>
          <w:sz w:val="24"/>
          <w:szCs w:val="24"/>
        </w:rPr>
        <w:t xml:space="preserve">comparatives </w:t>
      </w:r>
      <w:r>
        <w:rPr>
          <w:rFonts w:ascii="Garamond" w:hAnsi="Garamond" w:cs="Garamond"/>
          <w:sz w:val="24"/>
          <w:szCs w:val="24"/>
        </w:rPr>
        <w:t>et dans certaines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constructions</w:t>
      </w:r>
      <w:proofErr w:type="gramEnd"/>
      <w:r>
        <w:rPr>
          <w:rFonts w:ascii="Garamond" w:hAnsi="Garamond" w:cs="Garamond"/>
          <w:sz w:val="24"/>
          <w:szCs w:val="24"/>
        </w:rPr>
        <w:t xml:space="preserve"> coordonnées. L’incertitude porte alors sur le statut du groupe (généralement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nominal</w:t>
      </w:r>
      <w:proofErr w:type="gramEnd"/>
      <w:r>
        <w:rPr>
          <w:rFonts w:ascii="Garamond" w:hAnsi="Garamond" w:cs="Garamond"/>
          <w:sz w:val="24"/>
          <w:szCs w:val="24"/>
        </w:rPr>
        <w:t>) présent en surface, introduit par une conjonction : il peut en effet être compris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comme</w:t>
      </w:r>
      <w:proofErr w:type="gramEnd"/>
      <w:r>
        <w:rPr>
          <w:rFonts w:ascii="Garamond" w:hAnsi="Garamond" w:cs="Garamond"/>
          <w:sz w:val="24"/>
          <w:szCs w:val="24"/>
        </w:rPr>
        <w:t xml:space="preserve"> premier ou comme second argument de la relation prédicative sous-jacente. Par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exemple</w:t>
      </w:r>
      <w:proofErr w:type="gramEnd"/>
      <w:r>
        <w:rPr>
          <w:rFonts w:ascii="Garamond" w:hAnsi="Garamond" w:cs="Garamond"/>
          <w:sz w:val="24"/>
          <w:szCs w:val="24"/>
        </w:rPr>
        <w:t xml:space="preserve"> :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(4) Georges admire Marie autant que Jean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= autant que Jean admire Marie (le GN </w:t>
      </w:r>
      <w:r>
        <w:rPr>
          <w:rFonts w:ascii="Garamond,Italic" w:hAnsi="Garamond,Italic" w:cs="Garamond,Italic"/>
          <w:i/>
          <w:iCs/>
          <w:sz w:val="24"/>
          <w:szCs w:val="24"/>
        </w:rPr>
        <w:t xml:space="preserve">Jean </w:t>
      </w:r>
      <w:r>
        <w:rPr>
          <w:rFonts w:ascii="Garamond" w:hAnsi="Garamond" w:cs="Garamond"/>
          <w:sz w:val="24"/>
          <w:szCs w:val="24"/>
        </w:rPr>
        <w:t>est interprété comme premier argument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du</w:t>
      </w:r>
      <w:proofErr w:type="gramEnd"/>
      <w:r>
        <w:rPr>
          <w:rFonts w:ascii="Garamond" w:hAnsi="Garamond" w:cs="Garamond"/>
          <w:sz w:val="24"/>
          <w:szCs w:val="24"/>
        </w:rPr>
        <w:t xml:space="preserve"> prédicat sous-jacent « admirer »)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= autant que Georges admire Jean (le GN </w:t>
      </w:r>
      <w:r>
        <w:rPr>
          <w:rFonts w:ascii="Garamond,Italic" w:hAnsi="Garamond,Italic" w:cs="Garamond,Italic"/>
          <w:i/>
          <w:iCs/>
          <w:sz w:val="24"/>
          <w:szCs w:val="24"/>
        </w:rPr>
        <w:t xml:space="preserve">Jean </w:t>
      </w:r>
      <w:r>
        <w:rPr>
          <w:rFonts w:ascii="Garamond" w:hAnsi="Garamond" w:cs="Garamond"/>
          <w:sz w:val="24"/>
          <w:szCs w:val="24"/>
        </w:rPr>
        <w:t>est interprété comme second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lastRenderedPageBreak/>
        <w:t>argument</w:t>
      </w:r>
      <w:proofErr w:type="gramEnd"/>
      <w:r>
        <w:rPr>
          <w:rFonts w:ascii="Garamond" w:hAnsi="Garamond" w:cs="Garamond"/>
          <w:sz w:val="24"/>
          <w:szCs w:val="24"/>
        </w:rPr>
        <w:t xml:space="preserve"> du prédicat sous-jacent « admirer »)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Après certains verbes, dits d’ « attitude propositionnelle » (comme </w:t>
      </w:r>
      <w:r>
        <w:rPr>
          <w:rFonts w:ascii="Garamond,Italic" w:hAnsi="Garamond,Italic" w:cs="Garamond,Italic"/>
          <w:i/>
          <w:iCs/>
          <w:sz w:val="24"/>
          <w:szCs w:val="24"/>
        </w:rPr>
        <w:t>juger, croire, trouver, voir</w:t>
      </w:r>
      <w:r>
        <w:rPr>
          <w:rFonts w:ascii="Garamond" w:hAnsi="Garamond" w:cs="Garamond"/>
          <w:sz w:val="24"/>
          <w:szCs w:val="24"/>
        </w:rPr>
        <w:t>,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etc</w:t>
      </w:r>
      <w:proofErr w:type="gramEnd"/>
      <w:r>
        <w:rPr>
          <w:rFonts w:ascii="Garamond" w:hAnsi="Garamond" w:cs="Garamond"/>
          <w:sz w:val="24"/>
          <w:szCs w:val="24"/>
        </w:rPr>
        <w:t>.), une suite composée d’un nom suivi d’un adjectif qualificatif peut être comprise de deux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façons</w:t>
      </w:r>
      <w:proofErr w:type="gramEnd"/>
      <w:r>
        <w:rPr>
          <w:rFonts w:ascii="Garamond" w:hAnsi="Garamond" w:cs="Garamond"/>
          <w:sz w:val="24"/>
          <w:szCs w:val="24"/>
        </w:rPr>
        <w:t xml:space="preserve"> différentes : l’adjectif peut être interprété comme une épithète du nom avec lequel il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constitue</w:t>
      </w:r>
      <w:proofErr w:type="gramEnd"/>
      <w:r>
        <w:rPr>
          <w:rFonts w:ascii="Garamond" w:hAnsi="Garamond" w:cs="Garamond"/>
          <w:sz w:val="24"/>
          <w:szCs w:val="24"/>
        </w:rPr>
        <w:t xml:space="preserve"> un GN complexe objet du verbe, ou bien il peut être interprété comme un attribut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du</w:t>
      </w:r>
      <w:proofErr w:type="gramEnd"/>
      <w:r>
        <w:rPr>
          <w:rFonts w:ascii="Garamond" w:hAnsi="Garamond" w:cs="Garamond"/>
          <w:sz w:val="24"/>
          <w:szCs w:val="24"/>
        </w:rPr>
        <w:t xml:space="preserve"> nom objet. Dans les deux cas, la suite « nom + adjectif » peut être comprise comme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équivalant</w:t>
      </w:r>
      <w:proofErr w:type="gramEnd"/>
      <w:r>
        <w:rPr>
          <w:rFonts w:ascii="Garamond" w:hAnsi="Garamond" w:cs="Garamond"/>
          <w:sz w:val="24"/>
          <w:szCs w:val="24"/>
        </w:rPr>
        <w:t xml:space="preserve"> à une prédication sous-jacente « nom (</w:t>
      </w:r>
      <w:r>
        <w:rPr>
          <w:rFonts w:ascii="Garamond,Italic" w:hAnsi="Garamond,Italic" w:cs="Garamond,Italic"/>
          <w:i/>
          <w:iCs/>
          <w:sz w:val="24"/>
          <w:szCs w:val="24"/>
        </w:rPr>
        <w:t>être</w:t>
      </w:r>
      <w:r>
        <w:rPr>
          <w:rFonts w:ascii="Garamond" w:hAnsi="Garamond" w:cs="Garamond"/>
          <w:sz w:val="24"/>
          <w:szCs w:val="24"/>
        </w:rPr>
        <w:t>) adjectif » ; mais dans le premier cas, il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y</w:t>
      </w:r>
      <w:proofErr w:type="gramEnd"/>
      <w:r>
        <w:rPr>
          <w:rFonts w:ascii="Garamond" w:hAnsi="Garamond" w:cs="Garamond"/>
          <w:sz w:val="24"/>
          <w:szCs w:val="24"/>
        </w:rPr>
        <w:t xml:space="preserve"> a équivalence avec une proposition </w:t>
      </w:r>
      <w:r>
        <w:rPr>
          <w:rFonts w:ascii="Garamond,Bold" w:hAnsi="Garamond,Bold" w:cs="Garamond,Bold"/>
          <w:b/>
          <w:bCs/>
          <w:sz w:val="24"/>
          <w:szCs w:val="24"/>
        </w:rPr>
        <w:t>relative</w:t>
      </w:r>
      <w:r>
        <w:rPr>
          <w:rFonts w:ascii="Garamond" w:hAnsi="Garamond" w:cs="Garamond"/>
          <w:sz w:val="24"/>
          <w:szCs w:val="24"/>
        </w:rPr>
        <w:t>, alors que dans le second cas il y a équivalence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avec</w:t>
      </w:r>
      <w:proofErr w:type="gramEnd"/>
      <w:r>
        <w:rPr>
          <w:rFonts w:ascii="Garamond" w:hAnsi="Garamond" w:cs="Garamond"/>
          <w:sz w:val="24"/>
          <w:szCs w:val="24"/>
        </w:rPr>
        <w:t xml:space="preserve"> une proposition </w:t>
      </w:r>
      <w:r>
        <w:rPr>
          <w:rFonts w:ascii="Garamond,Bold" w:hAnsi="Garamond,Bold" w:cs="Garamond,Bold"/>
          <w:b/>
          <w:bCs/>
          <w:sz w:val="24"/>
          <w:szCs w:val="24"/>
        </w:rPr>
        <w:t>complétive</w:t>
      </w:r>
      <w:r>
        <w:rPr>
          <w:rFonts w:ascii="Garamond" w:hAnsi="Garamond" w:cs="Garamond"/>
          <w:sz w:val="24"/>
          <w:szCs w:val="24"/>
        </w:rPr>
        <w:t>. Par exemple :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(5) Le magistrat juge les enfants coupables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= le magistrat juge les enfants (qui sont) coupables (réduction de relative)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= le magistrat juge (que) les enfants (sont) coupables (réduction de complétive)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Ce type d’ambiguïté n’est pas sans rappeler celui que nous avons déjà évoqué au niveau de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l’analyse</w:t>
      </w:r>
      <w:proofErr w:type="gramEnd"/>
      <w:r>
        <w:rPr>
          <w:rFonts w:ascii="Garamond" w:hAnsi="Garamond" w:cs="Garamond"/>
          <w:sz w:val="24"/>
          <w:szCs w:val="24"/>
        </w:rPr>
        <w:t xml:space="preserve"> syntagmatique, concernant le double rattachement possible de certains adjectifs, soit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comme</w:t>
      </w:r>
      <w:proofErr w:type="gramEnd"/>
      <w:r>
        <w:rPr>
          <w:rFonts w:ascii="Garamond" w:hAnsi="Garamond" w:cs="Garamond"/>
          <w:sz w:val="24"/>
          <w:szCs w:val="24"/>
        </w:rPr>
        <w:t xml:space="preserve"> épithètes soit comme attributs d’un nom objet (</w:t>
      </w:r>
      <w:r>
        <w:rPr>
          <w:rFonts w:ascii="Garamond,Italic" w:hAnsi="Garamond,Italic" w:cs="Garamond,Italic"/>
          <w:i/>
          <w:iCs/>
          <w:sz w:val="24"/>
          <w:szCs w:val="24"/>
        </w:rPr>
        <w:t>Elle boit son café chaud</w:t>
      </w:r>
      <w:r>
        <w:rPr>
          <w:rFonts w:ascii="Garamond" w:hAnsi="Garamond" w:cs="Garamond"/>
          <w:sz w:val="24"/>
          <w:szCs w:val="24"/>
        </w:rPr>
        <w:t>), à cette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différence</w:t>
      </w:r>
      <w:proofErr w:type="gramEnd"/>
      <w:r>
        <w:rPr>
          <w:rFonts w:ascii="Garamond" w:hAnsi="Garamond" w:cs="Garamond"/>
          <w:sz w:val="24"/>
          <w:szCs w:val="24"/>
        </w:rPr>
        <w:t xml:space="preserve"> près que dans de tels exemples, le fonctionnement de l’adjectif comme attribut de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,Italic" w:hAnsi="Garamond,Italic" w:cs="Garamond,Italic"/>
          <w:i/>
          <w:iCs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l’objet</w:t>
      </w:r>
      <w:proofErr w:type="gramEnd"/>
      <w:r>
        <w:rPr>
          <w:rFonts w:ascii="Garamond" w:hAnsi="Garamond" w:cs="Garamond"/>
          <w:sz w:val="24"/>
          <w:szCs w:val="24"/>
        </w:rPr>
        <w:t xml:space="preserve"> ne peut pas s’analyser comme une réduction de complétive </w:t>
      </w:r>
      <w:r>
        <w:rPr>
          <w:rFonts w:ascii="Garamond,Italic" w:hAnsi="Garamond,Italic" w:cs="Garamond,Italic"/>
          <w:i/>
          <w:iCs/>
          <w:sz w:val="24"/>
          <w:szCs w:val="24"/>
        </w:rPr>
        <w:t>(*Elle boit que son café est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,Italic" w:hAnsi="Garamond,Italic" w:cs="Garamond,Italic"/>
          <w:i/>
          <w:iCs/>
          <w:sz w:val="24"/>
          <w:szCs w:val="24"/>
        </w:rPr>
        <w:t>chaud</w:t>
      </w:r>
      <w:proofErr w:type="gramEnd"/>
      <w:r>
        <w:rPr>
          <w:rFonts w:ascii="Garamond" w:hAnsi="Garamond" w:cs="Garamond"/>
          <w:sz w:val="24"/>
          <w:szCs w:val="24"/>
        </w:rPr>
        <w:t xml:space="preserve">). Mais, qu’il s’agisse de </w:t>
      </w:r>
      <w:r>
        <w:rPr>
          <w:rFonts w:ascii="Garamond,Italic" w:hAnsi="Garamond,Italic" w:cs="Garamond,Italic"/>
          <w:i/>
          <w:iCs/>
          <w:sz w:val="24"/>
          <w:szCs w:val="24"/>
        </w:rPr>
        <w:t xml:space="preserve">Il juge les enfants coupables </w:t>
      </w:r>
      <w:r>
        <w:rPr>
          <w:rFonts w:ascii="Garamond" w:hAnsi="Garamond" w:cs="Garamond"/>
          <w:sz w:val="24"/>
          <w:szCs w:val="24"/>
        </w:rPr>
        <w:t xml:space="preserve">ou de </w:t>
      </w:r>
      <w:r>
        <w:rPr>
          <w:rFonts w:ascii="Garamond,Italic" w:hAnsi="Garamond,Italic" w:cs="Garamond,Italic"/>
          <w:i/>
          <w:iCs/>
          <w:sz w:val="24"/>
          <w:szCs w:val="24"/>
        </w:rPr>
        <w:t>Elle boit sont café chaud</w:t>
      </w:r>
      <w:r>
        <w:rPr>
          <w:rFonts w:ascii="Garamond" w:hAnsi="Garamond" w:cs="Garamond"/>
          <w:sz w:val="24"/>
          <w:szCs w:val="24"/>
        </w:rPr>
        <w:t>, il faut dans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les</w:t>
      </w:r>
      <w:proofErr w:type="gramEnd"/>
      <w:r>
        <w:rPr>
          <w:rFonts w:ascii="Garamond" w:hAnsi="Garamond" w:cs="Garamond"/>
          <w:sz w:val="24"/>
          <w:szCs w:val="24"/>
        </w:rPr>
        <w:t xml:space="preserve"> deux cas déterminer </w:t>
      </w:r>
      <w:r>
        <w:rPr>
          <w:rFonts w:ascii="Garamond,Bold" w:hAnsi="Garamond,Bold" w:cs="Garamond,Bold"/>
          <w:b/>
          <w:bCs/>
          <w:sz w:val="24"/>
          <w:szCs w:val="24"/>
        </w:rPr>
        <w:t xml:space="preserve">l’incidence </w:t>
      </w:r>
      <w:r>
        <w:rPr>
          <w:rFonts w:ascii="Garamond" w:hAnsi="Garamond" w:cs="Garamond"/>
          <w:sz w:val="24"/>
          <w:szCs w:val="24"/>
        </w:rPr>
        <w:t>de l’adjectif : incidence au seul nom objet, ou bien</w:t>
      </w:r>
    </w:p>
    <w:p w:rsidR="00F3350A" w:rsidRDefault="006D1137" w:rsidP="006D1137">
      <w:pPr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incidence</w:t>
      </w:r>
      <w:proofErr w:type="gramEnd"/>
      <w:r>
        <w:rPr>
          <w:rFonts w:ascii="Garamond" w:hAnsi="Garamond" w:cs="Garamond"/>
          <w:sz w:val="24"/>
          <w:szCs w:val="24"/>
        </w:rPr>
        <w:t xml:space="preserve"> à la relation entre le verbe et l’objet.</w:t>
      </w:r>
    </w:p>
    <w:p w:rsidR="006D1137" w:rsidRDefault="006D1137" w:rsidP="006D1137">
      <w:pPr>
        <w:rPr>
          <w:rFonts w:ascii="Garamond" w:hAnsi="Garamond" w:cs="Garamond"/>
          <w:sz w:val="24"/>
          <w:szCs w:val="24"/>
        </w:rPr>
      </w:pP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4.3. Retrouver l’incidence des circonstants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Il existe un cas spécifique de pluralité d’incidences intra-prédicatives, que l’on appelle la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«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dépendance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à (plus ou moins grande) distance ». Il s’agit du cas où un circonstant précède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une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série de prédications emboîtées au sein d’une phrase complexe.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Ainsi dans des structures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interrogatives </w:t>
      </w:r>
      <w:r>
        <w:rPr>
          <w:rFonts w:ascii="Garamond" w:hAnsi="Garamond" w:cs="Garamond"/>
          <w:color w:val="000000"/>
          <w:sz w:val="24"/>
          <w:szCs w:val="24"/>
        </w:rPr>
        <w:t>partielles portant sur un circonstant initial, ce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dernier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peut être incident soit au prédicat principal, soit au prédicat de la complétive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color w:val="000000"/>
          <w:sz w:val="24"/>
          <w:szCs w:val="24"/>
        </w:rPr>
        <w:t>emboîtée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, par exemple :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(6) Quand as-tu affirmé que Paul était mort ?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= tu as affirmé quand, que Paul était mort ? (</w:t>
      </w:r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 xml:space="preserve">quand </w:t>
      </w:r>
      <w:r>
        <w:rPr>
          <w:rFonts w:ascii="Garamond" w:hAnsi="Garamond" w:cs="Garamond"/>
          <w:color w:val="000000"/>
          <w:sz w:val="24"/>
          <w:szCs w:val="24"/>
        </w:rPr>
        <w:t>incident à « toi affirmer »)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= tu as affirmé que Paul était mort quand ? (</w:t>
      </w:r>
      <w:r>
        <w:rPr>
          <w:rFonts w:ascii="Garamond,Italic" w:hAnsi="Garamond,Italic" w:cs="Garamond,Italic"/>
          <w:i/>
          <w:iCs/>
          <w:color w:val="000000"/>
          <w:sz w:val="24"/>
          <w:szCs w:val="24"/>
        </w:rPr>
        <w:t xml:space="preserve">quand </w:t>
      </w:r>
      <w:r>
        <w:rPr>
          <w:rFonts w:ascii="Garamond" w:hAnsi="Garamond" w:cs="Garamond"/>
          <w:color w:val="000000"/>
          <w:sz w:val="24"/>
          <w:szCs w:val="24"/>
        </w:rPr>
        <w:t>incident à « Paul mourir »)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Candara,Bold" w:hAnsi="Candara,Bold" w:cs="Candara,Bold"/>
          <w:b/>
          <w:bCs/>
          <w:color w:val="FFFFFF"/>
          <w:sz w:val="28"/>
          <w:szCs w:val="28"/>
        </w:rPr>
      </w:pPr>
      <w:r>
        <w:rPr>
          <w:rFonts w:ascii="Candara,Bold" w:hAnsi="Candara,Bold" w:cs="Candara,Bold"/>
          <w:b/>
          <w:bCs/>
          <w:color w:val="FFFFFF"/>
          <w:sz w:val="28"/>
          <w:szCs w:val="28"/>
        </w:rPr>
        <w:t>Exercice 3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Expliquez pourquoi les phrases suivantes sont ambiguës :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(1) Je l’ai souvent entendu chanter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(2) La peur du gendarme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(3) Cette femme aime son fils plus que son mari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(4) Je lui ai fait dire que Pierre ne viendra pas</w:t>
      </w:r>
    </w:p>
    <w:p w:rsidR="006D1137" w:rsidRDefault="006D1137" w:rsidP="006D113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(5) Paul croit sa secrétaire mariée</w:t>
      </w:r>
    </w:p>
    <w:p w:rsidR="006D1137" w:rsidRDefault="006D1137" w:rsidP="006D1137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(6) A qui as-tu dit que Jean téléphonera ?</w:t>
      </w:r>
      <w:bookmarkStart w:id="0" w:name="_GoBack"/>
      <w:bookmarkEnd w:id="0"/>
    </w:p>
    <w:p w:rsidR="00F3350A" w:rsidRDefault="00F3350A" w:rsidP="00F3350A">
      <w:pPr>
        <w:rPr>
          <w:rFonts w:ascii="Garamond" w:hAnsi="Garamond" w:cs="Garamond"/>
          <w:color w:val="000000"/>
          <w:sz w:val="24"/>
          <w:szCs w:val="24"/>
        </w:rPr>
      </w:pPr>
    </w:p>
    <w:p w:rsidR="0036499A" w:rsidRPr="0036499A" w:rsidRDefault="0036499A" w:rsidP="0036499A"/>
    <w:sectPr w:rsidR="0036499A" w:rsidRPr="00364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V Boli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ndar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9A"/>
    <w:rsid w:val="0036499A"/>
    <w:rsid w:val="006D1137"/>
    <w:rsid w:val="00992250"/>
    <w:rsid w:val="00F3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CCF0F-72CC-4100-A622-0A174522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6499A"/>
    <w:pPr>
      <w:autoSpaceDE w:val="0"/>
      <w:autoSpaceDN w:val="0"/>
      <w:adjustRightInd w:val="0"/>
      <w:spacing w:after="0" w:line="240" w:lineRule="auto"/>
    </w:pPr>
    <w:rPr>
      <w:rFonts w:ascii="MV Boli" w:hAnsi="MV Boli" w:cs="MV Bol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2332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</dc:creator>
  <cp:keywords/>
  <dc:description/>
  <cp:lastModifiedBy>UTIL</cp:lastModifiedBy>
  <cp:revision>1</cp:revision>
  <dcterms:created xsi:type="dcterms:W3CDTF">2024-11-03T21:39:00Z</dcterms:created>
  <dcterms:modified xsi:type="dcterms:W3CDTF">2024-11-03T22:01:00Z</dcterms:modified>
</cp:coreProperties>
</file>