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04" w:rsidRPr="00601CDF" w:rsidRDefault="00E31A04" w:rsidP="00601CDF">
      <w:pPr>
        <w:pStyle w:val="Paragraphedeliste"/>
        <w:numPr>
          <w:ilvl w:val="0"/>
          <w:numId w:val="9"/>
        </w:numPr>
        <w:rPr>
          <w:b/>
          <w:bCs/>
          <w:sz w:val="26"/>
          <w:szCs w:val="26"/>
        </w:rPr>
      </w:pPr>
      <w:r w:rsidRPr="00601CDF">
        <w:rPr>
          <w:b/>
          <w:bCs/>
          <w:sz w:val="26"/>
          <w:szCs w:val="26"/>
        </w:rPr>
        <w:t xml:space="preserve">Les grands courants </w:t>
      </w:r>
      <w:r w:rsidR="001476CA" w:rsidRPr="00601CDF">
        <w:rPr>
          <w:b/>
          <w:bCs/>
          <w:sz w:val="26"/>
          <w:szCs w:val="26"/>
        </w:rPr>
        <w:t>d’inspiration</w:t>
      </w:r>
      <w:r w:rsidRPr="00601CDF">
        <w:rPr>
          <w:b/>
          <w:bCs/>
          <w:sz w:val="26"/>
          <w:szCs w:val="26"/>
        </w:rPr>
        <w:t xml:space="preserve"> de la psychologie cognitive</w:t>
      </w:r>
    </w:p>
    <w:p w:rsidR="001D3D93" w:rsidRPr="00C451A5" w:rsidRDefault="00BB3502" w:rsidP="001D3D93">
      <w:pPr>
        <w:rPr>
          <w:rFonts w:asciiTheme="majorBidi" w:hAnsiTheme="majorBidi" w:cstheme="majorBidi"/>
          <w:color w:val="211808"/>
        </w:rPr>
      </w:pPr>
      <w:r w:rsidRPr="00C451A5">
        <w:rPr>
          <w:rFonts w:asciiTheme="majorBidi" w:hAnsiTheme="majorBidi" w:cstheme="majorBidi"/>
        </w:rPr>
        <w:t xml:space="preserve">La psychologie </w:t>
      </w:r>
      <w:r w:rsidR="001D3D93" w:rsidRPr="00C451A5">
        <w:rPr>
          <w:rFonts w:asciiTheme="majorBidi" w:hAnsiTheme="majorBidi" w:cstheme="majorBidi"/>
        </w:rPr>
        <w:t>scientifique</w:t>
      </w:r>
      <w:r w:rsidRPr="00C451A5">
        <w:rPr>
          <w:rFonts w:asciiTheme="majorBidi" w:hAnsiTheme="majorBidi" w:cstheme="majorBidi"/>
        </w:rPr>
        <w:t xml:space="preserve"> n’est pas </w:t>
      </w:r>
      <w:r w:rsidR="004E7BA7" w:rsidRPr="00C451A5">
        <w:rPr>
          <w:rFonts w:asciiTheme="majorBidi" w:hAnsiTheme="majorBidi" w:cstheme="majorBidi"/>
        </w:rPr>
        <w:t>venue au monde accidentellem</w:t>
      </w:r>
      <w:r w:rsidR="001D3D93" w:rsidRPr="00C451A5">
        <w:rPr>
          <w:rFonts w:asciiTheme="majorBidi" w:hAnsiTheme="majorBidi" w:cstheme="majorBidi"/>
        </w:rPr>
        <w:t>e</w:t>
      </w:r>
      <w:r w:rsidR="004E7BA7" w:rsidRPr="00C451A5">
        <w:rPr>
          <w:rFonts w:asciiTheme="majorBidi" w:hAnsiTheme="majorBidi" w:cstheme="majorBidi"/>
        </w:rPr>
        <w:t>nt</w:t>
      </w:r>
      <w:r w:rsidR="001D3D93" w:rsidRPr="00C451A5">
        <w:rPr>
          <w:rFonts w:asciiTheme="majorBidi" w:hAnsiTheme="majorBidi" w:cstheme="majorBidi"/>
        </w:rPr>
        <w:t>.</w:t>
      </w:r>
      <w:r w:rsidRPr="00C451A5">
        <w:rPr>
          <w:rFonts w:asciiTheme="majorBidi" w:hAnsiTheme="majorBidi" w:cstheme="majorBidi"/>
        </w:rPr>
        <w:t xml:space="preserve"> </w:t>
      </w:r>
      <w:r w:rsidR="001D3D93" w:rsidRPr="00C451A5">
        <w:rPr>
          <w:rFonts w:asciiTheme="majorBidi" w:hAnsiTheme="majorBidi" w:cstheme="majorBidi"/>
          <w:color w:val="211808"/>
        </w:rPr>
        <w:t>Cependant, son émergence s’est faite progressivement et en fonction de différentes influences par plusieurs courants</w:t>
      </w:r>
      <w:r w:rsidR="004D6AF5">
        <w:rPr>
          <w:rFonts w:asciiTheme="majorBidi" w:hAnsiTheme="majorBidi" w:cstheme="majorBidi"/>
          <w:color w:val="211808"/>
        </w:rPr>
        <w:t>, nous citons ceux qui sont les plus influant</w:t>
      </w:r>
      <w:r w:rsidR="001D3D93" w:rsidRPr="00C451A5">
        <w:rPr>
          <w:rFonts w:asciiTheme="majorBidi" w:hAnsiTheme="majorBidi" w:cstheme="majorBidi"/>
          <w:color w:val="211808"/>
        </w:rPr>
        <w:t> :</w:t>
      </w:r>
    </w:p>
    <w:tbl>
      <w:tblPr>
        <w:tblStyle w:val="Grilledutablea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2415"/>
        <w:gridCol w:w="1837"/>
      </w:tblGrid>
      <w:tr w:rsidR="00547D6A" w:rsidRPr="00C451A5" w:rsidTr="00551DE8">
        <w:tc>
          <w:tcPr>
            <w:tcW w:w="4361" w:type="dxa"/>
          </w:tcPr>
          <w:p w:rsidR="00547D6A" w:rsidRPr="00601CDF" w:rsidRDefault="00601CDF" w:rsidP="00601CDF">
            <w:pPr>
              <w:autoSpaceDE w:val="0"/>
              <w:autoSpaceDN w:val="0"/>
              <w:adjustRightInd w:val="0"/>
              <w:jc w:val="both"/>
              <w:rPr>
                <w:rFonts w:asciiTheme="majorBidi" w:hAnsiTheme="majorBidi" w:cstheme="majorBidi"/>
                <w:color w:val="0AA2DA"/>
              </w:rPr>
            </w:pPr>
            <w:r>
              <w:rPr>
                <w:rFonts w:asciiTheme="majorBidi" w:hAnsiTheme="majorBidi" w:cstheme="majorBidi"/>
                <w:b/>
                <w:bCs/>
                <w:color w:val="211808"/>
              </w:rPr>
              <w:t>4.1.</w:t>
            </w:r>
            <w:r w:rsidR="00547D6A" w:rsidRPr="00601CDF">
              <w:rPr>
                <w:rFonts w:asciiTheme="majorBidi" w:hAnsiTheme="majorBidi" w:cstheme="majorBidi"/>
                <w:b/>
                <w:bCs/>
                <w:color w:val="211808"/>
              </w:rPr>
              <w:t>Le behaviorisme</w:t>
            </w:r>
            <w:r w:rsidR="00547D6A" w:rsidRPr="00601CDF">
              <w:rPr>
                <w:rFonts w:asciiTheme="majorBidi" w:hAnsiTheme="majorBidi" w:cstheme="majorBidi"/>
                <w:color w:val="211808"/>
              </w:rPr>
              <w:t> : Watson, Skinner (1910-1960). C’est  l’américain John Watson vers les années 1910-1920, qui avait provoqué des changements profonds en ce qui concerne la conception de la psychologie scientifique.</w:t>
            </w:r>
            <w:r w:rsidR="00186A49" w:rsidRPr="00601CDF">
              <w:rPr>
                <w:rFonts w:asciiTheme="majorBidi" w:hAnsiTheme="majorBidi" w:cstheme="majorBidi"/>
                <w:color w:val="211808"/>
              </w:rPr>
              <w:t xml:space="preserve"> Car « l</w:t>
            </w:r>
            <w:r w:rsidR="00547D6A" w:rsidRPr="00601CDF">
              <w:rPr>
                <w:rFonts w:asciiTheme="majorBidi" w:hAnsiTheme="majorBidi" w:cstheme="majorBidi"/>
                <w:color w:val="211808"/>
              </w:rPr>
              <w:t xml:space="preserve">es aspects introspectifs de la psychologie sont pour lui incompréhensibles » (Nicolas, 2001).  </w:t>
            </w:r>
          </w:p>
        </w:tc>
        <w:tc>
          <w:tcPr>
            <w:tcW w:w="2415" w:type="dxa"/>
          </w:tcPr>
          <w:p w:rsidR="00547D6A" w:rsidRPr="00C451A5" w:rsidRDefault="00547D6A" w:rsidP="00547D6A">
            <w:pPr>
              <w:autoSpaceDE w:val="0"/>
              <w:autoSpaceDN w:val="0"/>
              <w:adjustRightInd w:val="0"/>
              <w:spacing w:line="240" w:lineRule="auto"/>
              <w:ind w:left="70"/>
              <w:rPr>
                <w:rFonts w:asciiTheme="majorBidi" w:hAnsiTheme="majorBidi" w:cstheme="majorBidi"/>
                <w:color w:val="0AA2DA"/>
                <w:sz w:val="24"/>
                <w:szCs w:val="24"/>
              </w:rPr>
            </w:pPr>
            <w:r w:rsidRPr="00C451A5">
              <w:rPr>
                <w:rFonts w:asciiTheme="majorBidi" w:hAnsiTheme="majorBidi" w:cstheme="majorBidi"/>
                <w:noProof/>
                <w:color w:val="0AA2DA"/>
                <w:lang w:eastAsia="fr-FR"/>
              </w:rPr>
              <w:drawing>
                <wp:inline distT="0" distB="0" distL="0" distR="0">
                  <wp:extent cx="1479550" cy="2063750"/>
                  <wp:effectExtent l="19050" t="0" r="635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79550" cy="2063750"/>
                          </a:xfrm>
                          <a:prstGeom prst="rect">
                            <a:avLst/>
                          </a:prstGeom>
                          <a:noFill/>
                          <a:ln w="9525">
                            <a:noFill/>
                            <a:miter lim="800000"/>
                            <a:headEnd/>
                            <a:tailEnd/>
                          </a:ln>
                        </pic:spPr>
                      </pic:pic>
                    </a:graphicData>
                  </a:graphic>
                </wp:inline>
              </w:drawing>
            </w:r>
          </w:p>
        </w:tc>
        <w:tc>
          <w:tcPr>
            <w:tcW w:w="1837" w:type="dxa"/>
          </w:tcPr>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0B6F5E" w:rsidRDefault="000B6F5E" w:rsidP="00547D6A">
            <w:pPr>
              <w:autoSpaceDE w:val="0"/>
              <w:autoSpaceDN w:val="0"/>
              <w:adjustRightInd w:val="0"/>
              <w:spacing w:line="240" w:lineRule="auto"/>
              <w:rPr>
                <w:rFonts w:asciiTheme="majorBidi" w:hAnsiTheme="majorBidi" w:cstheme="majorBidi"/>
                <w:color w:val="0AA2DA"/>
                <w:sz w:val="20"/>
                <w:szCs w:val="20"/>
              </w:rPr>
            </w:pPr>
          </w:p>
          <w:p w:rsidR="00547D6A" w:rsidRPr="00D2466C" w:rsidRDefault="00547D6A" w:rsidP="00547D6A">
            <w:pPr>
              <w:autoSpaceDE w:val="0"/>
              <w:autoSpaceDN w:val="0"/>
              <w:adjustRightInd w:val="0"/>
              <w:spacing w:line="240" w:lineRule="auto"/>
              <w:rPr>
                <w:rFonts w:asciiTheme="majorBidi" w:hAnsiTheme="majorBidi" w:cstheme="majorBidi"/>
                <w:i/>
                <w:iCs/>
                <w:sz w:val="20"/>
                <w:szCs w:val="20"/>
              </w:rPr>
            </w:pPr>
            <w:r w:rsidRPr="00D2466C">
              <w:rPr>
                <w:rFonts w:asciiTheme="majorBidi" w:hAnsiTheme="majorBidi" w:cstheme="majorBidi"/>
                <w:i/>
                <w:iCs/>
                <w:sz w:val="20"/>
                <w:szCs w:val="20"/>
              </w:rPr>
              <w:t>John Broadus Watson</w:t>
            </w:r>
          </w:p>
          <w:p w:rsidR="00547D6A" w:rsidRPr="00D2466C" w:rsidRDefault="00547D6A" w:rsidP="00D2466C">
            <w:pPr>
              <w:autoSpaceDE w:val="0"/>
              <w:autoSpaceDN w:val="0"/>
              <w:adjustRightInd w:val="0"/>
              <w:spacing w:line="240" w:lineRule="auto"/>
              <w:rPr>
                <w:rFonts w:asciiTheme="majorBidi" w:hAnsiTheme="majorBidi" w:cstheme="majorBidi"/>
                <w:color w:val="0AA2DA"/>
                <w:sz w:val="20"/>
                <w:szCs w:val="20"/>
              </w:rPr>
            </w:pPr>
            <w:r w:rsidRPr="00D2466C">
              <w:rPr>
                <w:rFonts w:asciiTheme="majorBidi" w:hAnsiTheme="majorBidi" w:cstheme="majorBidi"/>
                <w:sz w:val="20"/>
                <w:szCs w:val="20"/>
              </w:rPr>
              <w:t>(1879-1958).</w:t>
            </w:r>
          </w:p>
        </w:tc>
      </w:tr>
    </w:tbl>
    <w:p w:rsidR="00850494" w:rsidRPr="00C451A5" w:rsidRDefault="00C451A5" w:rsidP="00C451A5">
      <w:pPr>
        <w:autoSpaceDE w:val="0"/>
        <w:autoSpaceDN w:val="0"/>
        <w:adjustRightInd w:val="0"/>
        <w:spacing w:after="0"/>
        <w:jc w:val="both"/>
        <w:rPr>
          <w:rFonts w:asciiTheme="majorBidi" w:hAnsiTheme="majorBidi" w:cstheme="majorBidi"/>
        </w:rPr>
      </w:pPr>
      <w:r w:rsidRPr="00C451A5">
        <w:rPr>
          <w:rFonts w:asciiTheme="majorBidi" w:hAnsiTheme="majorBidi" w:cstheme="majorBidi"/>
          <w:color w:val="211808"/>
        </w:rPr>
        <w:t xml:space="preserve">Dans son premier article, Watson critique sévèrement </w:t>
      </w:r>
      <w:r>
        <w:rPr>
          <w:rFonts w:asciiTheme="majorBidi" w:hAnsiTheme="majorBidi" w:cstheme="majorBidi"/>
          <w:color w:val="211808"/>
        </w:rPr>
        <w:t xml:space="preserve">l’usage intensif </w:t>
      </w:r>
      <w:r w:rsidRPr="00C451A5">
        <w:rPr>
          <w:rFonts w:asciiTheme="majorBidi" w:hAnsiTheme="majorBidi" w:cstheme="majorBidi"/>
          <w:color w:val="211808"/>
        </w:rPr>
        <w:t>de</w:t>
      </w:r>
      <w:r w:rsidR="00934EB7" w:rsidRPr="00C451A5">
        <w:rPr>
          <w:rFonts w:asciiTheme="majorBidi" w:hAnsiTheme="majorBidi" w:cstheme="majorBidi"/>
          <w:color w:val="211808"/>
        </w:rPr>
        <w:t> </w:t>
      </w:r>
      <w:r>
        <w:rPr>
          <w:rFonts w:asciiTheme="majorBidi" w:hAnsiTheme="majorBidi" w:cstheme="majorBidi"/>
          <w:color w:val="211808"/>
        </w:rPr>
        <w:t xml:space="preserve"> </w:t>
      </w:r>
      <w:r w:rsidR="00934EB7" w:rsidRPr="00C451A5">
        <w:rPr>
          <w:rFonts w:asciiTheme="majorBidi" w:hAnsiTheme="majorBidi" w:cstheme="majorBidi"/>
          <w:color w:val="211808"/>
        </w:rPr>
        <w:t>l’«</w:t>
      </w:r>
      <w:r w:rsidR="00934EB7" w:rsidRPr="00C451A5">
        <w:rPr>
          <w:rFonts w:asciiTheme="majorBidi" w:hAnsiTheme="majorBidi" w:cstheme="majorBidi"/>
          <w:i/>
          <w:iCs/>
          <w:color w:val="211808"/>
        </w:rPr>
        <w:t>introspection</w:t>
      </w:r>
      <w:r w:rsidR="00934EB7" w:rsidRPr="00C451A5">
        <w:rPr>
          <w:rFonts w:asciiTheme="majorBidi" w:hAnsiTheme="majorBidi" w:cstheme="majorBidi"/>
          <w:color w:val="211808"/>
        </w:rPr>
        <w:t xml:space="preserve"> » comme méthode d’appréhension des états de conscience. </w:t>
      </w:r>
      <w:r w:rsidR="00186A49">
        <w:rPr>
          <w:rFonts w:asciiTheme="majorBidi" w:hAnsiTheme="majorBidi" w:cstheme="majorBidi"/>
          <w:color w:val="211808"/>
        </w:rPr>
        <w:t>Cependant i</w:t>
      </w:r>
      <w:r w:rsidR="00934EB7" w:rsidRPr="00C451A5">
        <w:rPr>
          <w:rFonts w:asciiTheme="majorBidi" w:hAnsiTheme="majorBidi" w:cstheme="majorBidi"/>
          <w:color w:val="211808"/>
        </w:rPr>
        <w:t>l propose de n’étudier et mesurer que les comportements ; seuls éléments objectivables</w:t>
      </w:r>
      <w:r w:rsidR="00E81C23">
        <w:rPr>
          <w:rFonts w:asciiTheme="majorBidi" w:hAnsiTheme="majorBidi" w:cstheme="majorBidi"/>
          <w:color w:val="211808"/>
        </w:rPr>
        <w:t>,</w:t>
      </w:r>
      <w:r w:rsidR="00850494" w:rsidRPr="00C451A5">
        <w:rPr>
          <w:rFonts w:asciiTheme="majorBidi" w:hAnsiTheme="majorBidi" w:cstheme="majorBidi"/>
          <w:color w:val="211808"/>
        </w:rPr>
        <w:t xml:space="preserve"> d’où le nom donné par lui-même de behaviorisme</w:t>
      </w:r>
      <w:r w:rsidR="00AE1D0A" w:rsidRPr="00C451A5">
        <w:rPr>
          <w:rFonts w:asciiTheme="majorBidi" w:hAnsiTheme="majorBidi" w:cstheme="majorBidi"/>
          <w:color w:val="211808"/>
        </w:rPr>
        <w:t xml:space="preserve"> </w:t>
      </w:r>
      <w:r w:rsidR="00C820CC" w:rsidRPr="00C451A5">
        <w:rPr>
          <w:rFonts w:asciiTheme="majorBidi" w:hAnsiTheme="majorBidi" w:cstheme="majorBidi"/>
          <w:color w:val="211808"/>
        </w:rPr>
        <w:t>à ce nouveau courant. (</w:t>
      </w:r>
      <w:r w:rsidR="00C820CC" w:rsidRPr="00C451A5">
        <w:rPr>
          <w:rFonts w:asciiTheme="majorBidi" w:hAnsiTheme="majorBidi" w:cstheme="majorBidi"/>
        </w:rPr>
        <w:t>Laure LEGER, 2016)</w:t>
      </w:r>
      <w:r w:rsidR="00680ED8" w:rsidRPr="00C451A5">
        <w:rPr>
          <w:rFonts w:asciiTheme="majorBidi" w:hAnsiTheme="majorBidi" w:cstheme="majorBidi"/>
        </w:rPr>
        <w:t>.</w:t>
      </w:r>
    </w:p>
    <w:p w:rsidR="006D6328" w:rsidRPr="00C451A5" w:rsidRDefault="006D6328" w:rsidP="001476CA">
      <w:pPr>
        <w:autoSpaceDE w:val="0"/>
        <w:autoSpaceDN w:val="0"/>
        <w:adjustRightInd w:val="0"/>
        <w:spacing w:after="0"/>
        <w:jc w:val="both"/>
        <w:rPr>
          <w:rFonts w:asciiTheme="majorBidi" w:hAnsiTheme="majorBidi" w:cstheme="majorBidi"/>
          <w:color w:val="211808"/>
        </w:rPr>
      </w:pPr>
      <w:r w:rsidRPr="00C451A5">
        <w:rPr>
          <w:rFonts w:asciiTheme="majorBidi" w:hAnsiTheme="majorBidi" w:cstheme="majorBidi"/>
        </w:rPr>
        <w:t xml:space="preserve">     </w:t>
      </w:r>
      <w:r w:rsidR="00680ED8" w:rsidRPr="00C451A5">
        <w:rPr>
          <w:rFonts w:asciiTheme="majorBidi" w:hAnsiTheme="majorBidi" w:cstheme="majorBidi"/>
        </w:rPr>
        <w:t>Avec le néobehaviorisme</w:t>
      </w:r>
      <w:r w:rsidR="00535907" w:rsidRPr="00C451A5">
        <w:rPr>
          <w:rFonts w:asciiTheme="majorBidi" w:hAnsiTheme="majorBidi" w:cstheme="majorBidi"/>
        </w:rPr>
        <w:t>, les recherches rigoureuses s’accumulent sur les bases empiriques associationnistes. Deux découvertes ont marqué cette période : 1/ Le conditionnement, découvert par Pavlov</w:t>
      </w:r>
      <w:r w:rsidR="00B810D9" w:rsidRPr="00C451A5">
        <w:rPr>
          <w:rFonts w:asciiTheme="majorBidi" w:hAnsiTheme="majorBidi" w:cstheme="majorBidi"/>
        </w:rPr>
        <w:t>,</w:t>
      </w:r>
      <w:r w:rsidR="00680ED8" w:rsidRPr="00C451A5">
        <w:rPr>
          <w:rFonts w:asciiTheme="majorBidi" w:hAnsiTheme="majorBidi" w:cstheme="majorBidi"/>
        </w:rPr>
        <w:t xml:space="preserve"> </w:t>
      </w:r>
      <w:r w:rsidR="00B810D9" w:rsidRPr="00C451A5">
        <w:rPr>
          <w:rFonts w:asciiTheme="majorBidi" w:hAnsiTheme="majorBidi" w:cstheme="majorBidi"/>
          <w:color w:val="211808"/>
        </w:rPr>
        <w:t xml:space="preserve">indique qu’un nouveau stimulus peut s’associer par contiguïté temporelle à une réaction réflexe ; par exemple, un son peut déclencher la salivation chez un chien. </w:t>
      </w:r>
      <w:r w:rsidRPr="00C451A5">
        <w:rPr>
          <w:rFonts w:asciiTheme="majorBidi" w:hAnsiTheme="majorBidi" w:cstheme="majorBidi"/>
          <w:color w:val="211808"/>
        </w:rPr>
        <w:t xml:space="preserve">2/ Enfin, la découverte par le physiologiste anglais Sherrington (1897) que le tissu nerveux n’est pas continu mais que les neurones s’associent en des points de jonction, les synapses, </w:t>
      </w:r>
      <w:r w:rsidR="00186A49">
        <w:rPr>
          <w:rFonts w:asciiTheme="majorBidi" w:hAnsiTheme="majorBidi" w:cstheme="majorBidi"/>
          <w:color w:val="211808"/>
        </w:rPr>
        <w:t xml:space="preserve">ce qui </w:t>
      </w:r>
      <w:r w:rsidRPr="00C451A5">
        <w:rPr>
          <w:rFonts w:asciiTheme="majorBidi" w:hAnsiTheme="majorBidi" w:cstheme="majorBidi"/>
          <w:color w:val="211808"/>
        </w:rPr>
        <w:t xml:space="preserve">justifiera les associations sur le plan neurobiologique. </w:t>
      </w:r>
    </w:p>
    <w:p w:rsidR="006D6328" w:rsidRDefault="006D6328" w:rsidP="001476CA">
      <w:pPr>
        <w:autoSpaceDE w:val="0"/>
        <w:autoSpaceDN w:val="0"/>
        <w:adjustRightInd w:val="0"/>
        <w:spacing w:after="0"/>
        <w:jc w:val="both"/>
        <w:rPr>
          <w:rFonts w:asciiTheme="majorBidi" w:hAnsiTheme="majorBidi" w:cstheme="majorBidi"/>
        </w:rPr>
      </w:pPr>
      <w:r w:rsidRPr="00C451A5">
        <w:rPr>
          <w:rFonts w:asciiTheme="majorBidi" w:hAnsiTheme="majorBidi" w:cstheme="majorBidi"/>
          <w:color w:val="211808"/>
        </w:rPr>
        <w:t xml:space="preserve">       Le behaviorisme est ainsi essentiellement une psychologie de l’apprentissage : tout s’apprend, de la résolution de problèmes (</w:t>
      </w:r>
      <w:r w:rsidRPr="00C451A5">
        <w:rPr>
          <w:rFonts w:asciiTheme="majorBidi" w:hAnsiTheme="majorBidi" w:cstheme="majorBidi"/>
          <w:i/>
          <w:iCs/>
          <w:color w:val="211808"/>
        </w:rPr>
        <w:t xml:space="preserve">problem-solving </w:t>
      </w:r>
      <w:r w:rsidRPr="00C451A5">
        <w:rPr>
          <w:rFonts w:asciiTheme="majorBidi" w:hAnsiTheme="majorBidi" w:cstheme="majorBidi"/>
          <w:color w:val="211808"/>
        </w:rPr>
        <w:t>qui remplace le concept d’intelligence) aux règles de conduite (la personnalité).</w:t>
      </w:r>
      <w:r w:rsidR="001476CA" w:rsidRPr="00C451A5">
        <w:rPr>
          <w:rFonts w:asciiTheme="majorBidi" w:hAnsiTheme="majorBidi" w:cstheme="majorBidi"/>
          <w:color w:val="211808"/>
        </w:rPr>
        <w:t xml:space="preserve"> (</w:t>
      </w:r>
      <w:r w:rsidR="001476CA" w:rsidRPr="00C451A5">
        <w:rPr>
          <w:rFonts w:asciiTheme="majorBidi" w:hAnsiTheme="majorBidi" w:cstheme="majorBidi"/>
        </w:rPr>
        <w:t>Laure LEGER, 2016).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6"/>
        <w:gridCol w:w="2308"/>
        <w:gridCol w:w="1392"/>
      </w:tblGrid>
      <w:tr w:rsidR="000B6F5E" w:rsidTr="00D2466C">
        <w:tc>
          <w:tcPr>
            <w:tcW w:w="4746" w:type="dxa"/>
          </w:tcPr>
          <w:p w:rsidR="000B6F5E" w:rsidRPr="00601CDF" w:rsidRDefault="00601CDF" w:rsidP="00601CDF">
            <w:pPr>
              <w:autoSpaceDE w:val="0"/>
              <w:autoSpaceDN w:val="0"/>
              <w:adjustRightInd w:val="0"/>
              <w:jc w:val="both"/>
              <w:rPr>
                <w:rFonts w:asciiTheme="majorBidi" w:hAnsiTheme="majorBidi" w:cstheme="majorBidi"/>
              </w:rPr>
            </w:pPr>
            <w:r>
              <w:rPr>
                <w:rFonts w:asciiTheme="majorBidi" w:hAnsiTheme="majorBidi" w:cstheme="majorBidi"/>
                <w:b/>
                <w:bCs/>
                <w:color w:val="211808"/>
              </w:rPr>
              <w:lastRenderedPageBreak/>
              <w:t>4.2.</w:t>
            </w:r>
            <w:r w:rsidR="00D2466C" w:rsidRPr="00601CDF">
              <w:rPr>
                <w:rFonts w:asciiTheme="majorBidi" w:hAnsiTheme="majorBidi" w:cstheme="majorBidi"/>
                <w:b/>
                <w:bCs/>
                <w:color w:val="211808"/>
              </w:rPr>
              <w:t>Le Gestaltisme</w:t>
            </w:r>
            <w:r w:rsidR="00D2466C" w:rsidRPr="00601CDF">
              <w:rPr>
                <w:rFonts w:asciiTheme="majorBidi" w:hAnsiTheme="majorBidi" w:cstheme="majorBidi"/>
                <w:color w:val="211808"/>
              </w:rPr>
              <w:t xml:space="preserve"> ou </w:t>
            </w:r>
            <w:r w:rsidR="00D2466C" w:rsidRPr="00601CDF">
              <w:rPr>
                <w:rFonts w:asciiTheme="majorBidi" w:hAnsiTheme="majorBidi" w:cstheme="majorBidi"/>
                <w:color w:val="202122"/>
                <w:sz w:val="24"/>
                <w:szCs w:val="24"/>
                <w:shd w:val="clear" w:color="auto" w:fill="FFFFFF"/>
              </w:rPr>
              <w:t>La </w:t>
            </w:r>
            <w:r w:rsidR="00D2466C" w:rsidRPr="00601CDF">
              <w:rPr>
                <w:rFonts w:asciiTheme="majorBidi" w:hAnsiTheme="majorBidi" w:cstheme="majorBidi"/>
                <w:b/>
                <w:bCs/>
                <w:color w:val="202122"/>
                <w:sz w:val="24"/>
                <w:szCs w:val="24"/>
                <w:shd w:val="clear" w:color="auto" w:fill="FFFFFF"/>
              </w:rPr>
              <w:t xml:space="preserve">psychologie de la forme </w:t>
            </w:r>
            <w:r w:rsidR="00D2466C" w:rsidRPr="00601CDF">
              <w:rPr>
                <w:rFonts w:asciiTheme="majorBidi" w:hAnsiTheme="majorBidi" w:cstheme="majorBidi"/>
                <w:color w:val="231F20"/>
                <w:sz w:val="24"/>
                <w:szCs w:val="24"/>
                <w:shd w:val="clear" w:color="auto" w:fill="FFFFFF"/>
              </w:rPr>
              <w:t xml:space="preserve">apparaît comme une phénoménologie expérimentale, qui s'intéresse moins à </w:t>
            </w:r>
            <w:r w:rsidR="00D2466C" w:rsidRPr="00601CDF">
              <w:rPr>
                <w:rFonts w:asciiTheme="majorBidi" w:hAnsiTheme="majorBidi" w:cstheme="majorBidi"/>
                <w:color w:val="231F20"/>
                <w:shd w:val="clear" w:color="auto" w:fill="FFFFFF"/>
              </w:rPr>
              <w:t>comprendre</w:t>
            </w:r>
            <w:r w:rsidR="00D2466C" w:rsidRPr="00601CDF">
              <w:rPr>
                <w:rFonts w:asciiTheme="majorBidi" w:hAnsiTheme="majorBidi" w:cstheme="majorBidi"/>
                <w:color w:val="231F20"/>
                <w:sz w:val="24"/>
                <w:szCs w:val="24"/>
                <w:shd w:val="clear" w:color="auto" w:fill="FFFFFF"/>
              </w:rPr>
              <w:t xml:space="preserve"> des essences </w:t>
            </w:r>
            <w:r w:rsidR="00D2466C" w:rsidRPr="00601CDF">
              <w:rPr>
                <w:rFonts w:asciiTheme="majorBidi" w:hAnsiTheme="majorBidi" w:cstheme="majorBidi"/>
                <w:color w:val="231F20"/>
                <w:shd w:val="clear" w:color="auto" w:fill="FFFFFF"/>
              </w:rPr>
              <w:t>mais elle s’intéresse beaucoup plus aux processus de la perception et de la représentation mentale qui traitent les</w:t>
            </w:r>
          </w:p>
        </w:tc>
        <w:tc>
          <w:tcPr>
            <w:tcW w:w="2308" w:type="dxa"/>
          </w:tcPr>
          <w:p w:rsidR="000B6F5E" w:rsidRDefault="00D2466C" w:rsidP="001476CA">
            <w:pPr>
              <w:autoSpaceDE w:val="0"/>
              <w:autoSpaceDN w:val="0"/>
              <w:adjustRightInd w:val="0"/>
              <w:jc w:val="both"/>
              <w:rPr>
                <w:rFonts w:asciiTheme="majorBidi" w:hAnsiTheme="majorBidi" w:cstheme="majorBidi"/>
              </w:rPr>
            </w:pPr>
            <w:r>
              <w:rPr>
                <w:noProof/>
                <w:lang w:eastAsia="fr-FR"/>
              </w:rPr>
              <w:t xml:space="preserve">  </w:t>
            </w:r>
            <w:r w:rsidR="000B6F5E">
              <w:rPr>
                <w:noProof/>
                <w:lang w:eastAsia="fr-FR"/>
              </w:rPr>
              <w:drawing>
                <wp:inline distT="0" distB="0" distL="0" distR="0">
                  <wp:extent cx="1217644" cy="1416050"/>
                  <wp:effectExtent l="19050" t="0" r="1556" b="0"/>
                  <wp:docPr id="1" name="Image 1" descr="Wolfgang Köh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gang Köhler.jpg"/>
                          <pic:cNvPicPr>
                            <a:picLocks noChangeAspect="1" noChangeArrowheads="1"/>
                          </pic:cNvPicPr>
                        </pic:nvPicPr>
                        <pic:blipFill>
                          <a:blip r:embed="rId9"/>
                          <a:srcRect/>
                          <a:stretch>
                            <a:fillRect/>
                          </a:stretch>
                        </pic:blipFill>
                        <pic:spPr bwMode="auto">
                          <a:xfrm>
                            <a:off x="0" y="0"/>
                            <a:ext cx="1220044" cy="1418841"/>
                          </a:xfrm>
                          <a:prstGeom prst="rect">
                            <a:avLst/>
                          </a:prstGeom>
                          <a:noFill/>
                          <a:ln w="9525">
                            <a:noFill/>
                            <a:miter lim="800000"/>
                            <a:headEnd/>
                            <a:tailEnd/>
                          </a:ln>
                        </pic:spPr>
                      </pic:pic>
                    </a:graphicData>
                  </a:graphic>
                </wp:inline>
              </w:drawing>
            </w:r>
          </w:p>
        </w:tc>
        <w:tc>
          <w:tcPr>
            <w:tcW w:w="1392" w:type="dxa"/>
          </w:tcPr>
          <w:p w:rsidR="00D2466C" w:rsidRDefault="00D2466C" w:rsidP="00D2466C">
            <w:pPr>
              <w:autoSpaceDE w:val="0"/>
              <w:autoSpaceDN w:val="0"/>
              <w:adjustRightInd w:val="0"/>
              <w:jc w:val="both"/>
            </w:pPr>
          </w:p>
          <w:p w:rsidR="00D2466C" w:rsidRDefault="00D2466C" w:rsidP="00D2466C">
            <w:pPr>
              <w:autoSpaceDE w:val="0"/>
              <w:autoSpaceDN w:val="0"/>
              <w:adjustRightInd w:val="0"/>
              <w:jc w:val="both"/>
              <w:rPr>
                <w:rFonts w:asciiTheme="majorBidi" w:hAnsiTheme="majorBidi" w:cstheme="majorBidi"/>
                <w:color w:val="211808"/>
              </w:rPr>
            </w:pPr>
          </w:p>
          <w:p w:rsidR="00D2466C" w:rsidRDefault="00D2466C" w:rsidP="00D2466C">
            <w:pPr>
              <w:autoSpaceDE w:val="0"/>
              <w:autoSpaceDN w:val="0"/>
              <w:adjustRightInd w:val="0"/>
              <w:jc w:val="both"/>
              <w:rPr>
                <w:rFonts w:asciiTheme="majorBidi" w:hAnsiTheme="majorBidi" w:cstheme="majorBidi"/>
                <w:color w:val="211808"/>
              </w:rPr>
            </w:pPr>
          </w:p>
          <w:p w:rsidR="000B6F5E" w:rsidRPr="00D2466C" w:rsidRDefault="00D2466C" w:rsidP="00D2466C">
            <w:pPr>
              <w:autoSpaceDE w:val="0"/>
              <w:autoSpaceDN w:val="0"/>
              <w:adjustRightInd w:val="0"/>
              <w:jc w:val="both"/>
              <w:rPr>
                <w:sz w:val="20"/>
                <w:szCs w:val="20"/>
              </w:rPr>
            </w:pPr>
            <w:r w:rsidRPr="00D2466C">
              <w:rPr>
                <w:rFonts w:asciiTheme="majorBidi" w:hAnsiTheme="majorBidi" w:cstheme="majorBidi"/>
                <w:i/>
                <w:iCs/>
                <w:color w:val="211808"/>
                <w:sz w:val="20"/>
                <w:szCs w:val="20"/>
              </w:rPr>
              <w:t>Wolfgang Köhler</w:t>
            </w:r>
            <w:r w:rsidRPr="00D2466C">
              <w:rPr>
                <w:rFonts w:asciiTheme="majorBidi" w:hAnsiTheme="majorBidi" w:cstheme="majorBidi"/>
                <w:color w:val="211808"/>
                <w:sz w:val="20"/>
                <w:szCs w:val="20"/>
              </w:rPr>
              <w:t xml:space="preserve"> (1887 – 1967)</w:t>
            </w:r>
          </w:p>
        </w:tc>
      </w:tr>
    </w:tbl>
    <w:p w:rsidR="00186A49" w:rsidRDefault="000B6F5E" w:rsidP="00D2466C">
      <w:pPr>
        <w:jc w:val="both"/>
      </w:pPr>
      <w:r>
        <w:rPr>
          <w:rFonts w:asciiTheme="majorBidi" w:hAnsiTheme="majorBidi" w:cstheme="majorBidi"/>
          <w:color w:val="231F20"/>
          <w:shd w:val="clear" w:color="auto" w:fill="FFFFFF"/>
        </w:rPr>
        <w:t>phénomènes comme des formes globales plutôt que comme l’</w:t>
      </w:r>
      <w:r w:rsidR="00D2466C">
        <w:rPr>
          <w:rFonts w:asciiTheme="majorBidi" w:hAnsiTheme="majorBidi" w:cstheme="majorBidi"/>
          <w:color w:val="231F20"/>
          <w:shd w:val="clear" w:color="auto" w:fill="FFFFFF"/>
        </w:rPr>
        <w:t xml:space="preserve">addition ou la </w:t>
      </w:r>
      <w:r>
        <w:rPr>
          <w:rFonts w:asciiTheme="majorBidi" w:hAnsiTheme="majorBidi" w:cstheme="majorBidi"/>
          <w:color w:val="231F20"/>
          <w:shd w:val="clear" w:color="auto" w:fill="FFFFFF"/>
        </w:rPr>
        <w:t xml:space="preserve">juxtaposition de plusieurs éléments simples. </w:t>
      </w:r>
    </w:p>
    <w:p w:rsidR="008E6C37" w:rsidRPr="00C451A5" w:rsidRDefault="00D2466C" w:rsidP="00F47039">
      <w:pPr>
        <w:autoSpaceDE w:val="0"/>
        <w:autoSpaceDN w:val="0"/>
        <w:adjustRightInd w:val="0"/>
        <w:spacing w:after="0"/>
        <w:jc w:val="both"/>
        <w:rPr>
          <w:rFonts w:asciiTheme="majorBidi" w:hAnsiTheme="majorBidi" w:cstheme="majorBidi"/>
          <w:color w:val="211808"/>
        </w:rPr>
      </w:pPr>
      <w:r>
        <w:rPr>
          <w:rFonts w:asciiTheme="majorBidi" w:hAnsiTheme="majorBidi" w:cstheme="majorBidi"/>
          <w:color w:val="211808"/>
        </w:rPr>
        <w:t xml:space="preserve">   </w:t>
      </w:r>
      <w:r w:rsidR="000B6F5E">
        <w:rPr>
          <w:rFonts w:asciiTheme="majorBidi" w:hAnsiTheme="majorBidi" w:cstheme="majorBidi"/>
          <w:color w:val="211808"/>
        </w:rPr>
        <w:t xml:space="preserve">D’une autre part, </w:t>
      </w:r>
      <w:r>
        <w:rPr>
          <w:rFonts w:asciiTheme="majorBidi" w:hAnsiTheme="majorBidi" w:cstheme="majorBidi"/>
          <w:color w:val="211808"/>
        </w:rPr>
        <w:t xml:space="preserve">les découvertes sur </w:t>
      </w:r>
      <w:r w:rsidR="000B6F5E">
        <w:rPr>
          <w:rFonts w:asciiTheme="majorBidi" w:hAnsiTheme="majorBidi" w:cstheme="majorBidi"/>
          <w:color w:val="211808"/>
        </w:rPr>
        <w:t>l</w:t>
      </w:r>
      <w:r w:rsidR="008E6C37" w:rsidRPr="00C451A5">
        <w:rPr>
          <w:rFonts w:asciiTheme="majorBidi" w:hAnsiTheme="majorBidi" w:cstheme="majorBidi"/>
          <w:color w:val="211808"/>
        </w:rPr>
        <w:t>a mesure de l’électricité cérébrale, avec l’électro</w:t>
      </w:r>
      <w:r>
        <w:rPr>
          <w:rFonts w:asciiTheme="majorBidi" w:hAnsiTheme="majorBidi" w:cstheme="majorBidi"/>
          <w:color w:val="211808"/>
        </w:rPr>
        <w:t>-</w:t>
      </w:r>
      <w:r w:rsidR="008E6C37" w:rsidRPr="00C451A5">
        <w:rPr>
          <w:rFonts w:asciiTheme="majorBidi" w:hAnsiTheme="majorBidi" w:cstheme="majorBidi"/>
          <w:color w:val="211808"/>
        </w:rPr>
        <w:t xml:space="preserve">encéphalogramme, par le psychiatre allemand Hans Berger (1929), </w:t>
      </w:r>
      <w:r w:rsidR="00F47039">
        <w:rPr>
          <w:rFonts w:asciiTheme="majorBidi" w:hAnsiTheme="majorBidi" w:cstheme="majorBidi"/>
          <w:color w:val="211808"/>
        </w:rPr>
        <w:t>ont</w:t>
      </w:r>
      <w:r w:rsidR="008E6C37" w:rsidRPr="00C451A5">
        <w:rPr>
          <w:rFonts w:asciiTheme="majorBidi" w:hAnsiTheme="majorBidi" w:cstheme="majorBidi"/>
          <w:color w:val="211808"/>
        </w:rPr>
        <w:t xml:space="preserve"> suggéré à Wolfgang Köhler que le fonctionnement cérébral et psychologique était lié</w:t>
      </w:r>
      <w:r w:rsidR="00853007">
        <w:rPr>
          <w:rFonts w:asciiTheme="majorBidi" w:hAnsiTheme="majorBidi" w:cstheme="majorBidi"/>
          <w:color w:val="211808"/>
        </w:rPr>
        <w:t xml:space="preserve"> et influencé par</w:t>
      </w:r>
      <w:r w:rsidR="008E6C37" w:rsidRPr="00C451A5">
        <w:rPr>
          <w:rFonts w:asciiTheme="majorBidi" w:hAnsiTheme="majorBidi" w:cstheme="majorBidi"/>
          <w:color w:val="211808"/>
        </w:rPr>
        <w:t xml:space="preserve"> des champs électriques.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2268"/>
        <w:gridCol w:w="1326"/>
      </w:tblGrid>
      <w:tr w:rsidR="008E6C37" w:rsidTr="00C22687">
        <w:tc>
          <w:tcPr>
            <w:tcW w:w="4928" w:type="dxa"/>
          </w:tcPr>
          <w:p w:rsidR="008E6C37" w:rsidRPr="00C22687" w:rsidRDefault="00601CDF" w:rsidP="00601CDF">
            <w:pPr>
              <w:pStyle w:val="Default"/>
              <w:spacing w:line="360" w:lineRule="auto"/>
              <w:rPr>
                <w:sz w:val="23"/>
                <w:szCs w:val="23"/>
              </w:rPr>
            </w:pPr>
            <w:r>
              <w:rPr>
                <w:b/>
                <w:bCs/>
                <w:sz w:val="23"/>
                <w:szCs w:val="23"/>
              </w:rPr>
              <w:t>4.3.</w:t>
            </w:r>
            <w:r w:rsidR="00C22687">
              <w:rPr>
                <w:b/>
                <w:bCs/>
                <w:sz w:val="23"/>
                <w:szCs w:val="23"/>
              </w:rPr>
              <w:t xml:space="preserve"> Le Structuralisme </w:t>
            </w:r>
            <w:r w:rsidR="00C22687">
              <w:rPr>
                <w:sz w:val="23"/>
                <w:szCs w:val="23"/>
              </w:rPr>
              <w:t>: Pour le psychologue suisse Jean Piaget (1896 – 1980), l’intelligence est constituée de structures analogues à celles de la logique et des mathématiques, les opérations intellectuelle</w:t>
            </w:r>
            <w:r w:rsidR="00164B1E">
              <w:rPr>
                <w:sz w:val="23"/>
                <w:szCs w:val="23"/>
              </w:rPr>
              <w:t>s. La psychologie s’insère dans</w:t>
            </w:r>
            <w:r w:rsidR="00C22687">
              <w:rPr>
                <w:sz w:val="23"/>
                <w:szCs w:val="23"/>
              </w:rPr>
              <w:t xml:space="preserve"> </w:t>
            </w:r>
          </w:p>
        </w:tc>
        <w:tc>
          <w:tcPr>
            <w:tcW w:w="2268" w:type="dxa"/>
          </w:tcPr>
          <w:p w:rsidR="008E6C37" w:rsidRDefault="00D2466C" w:rsidP="00F47039">
            <w:pPr>
              <w:autoSpaceDE w:val="0"/>
              <w:autoSpaceDN w:val="0"/>
              <w:adjustRightInd w:val="0"/>
              <w:rPr>
                <w:rFonts w:ascii="LegacySerif-Book" w:hAnsi="LegacySerif-Book" w:cs="LegacySerif-Book"/>
                <w:color w:val="211808"/>
              </w:rPr>
            </w:pPr>
            <w:r>
              <w:rPr>
                <w:rFonts w:ascii="LegacySerif-Book" w:hAnsi="LegacySerif-Book" w:cs="LegacySerif-Book"/>
                <w:color w:val="211808"/>
              </w:rPr>
              <w:t xml:space="preserve"> </w:t>
            </w:r>
            <w:r w:rsidR="00F47039" w:rsidRPr="00F47039">
              <w:rPr>
                <w:rFonts w:ascii="LegacySerif-Book" w:hAnsi="LegacySerif-Book" w:cs="LegacySerif-Book"/>
                <w:noProof/>
                <w:color w:val="211808"/>
                <w:lang w:eastAsia="fr-FR"/>
              </w:rPr>
              <w:drawing>
                <wp:inline distT="0" distB="0" distL="0" distR="0">
                  <wp:extent cx="1185356" cy="11366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85356" cy="1136650"/>
                          </a:xfrm>
                          <a:prstGeom prst="rect">
                            <a:avLst/>
                          </a:prstGeom>
                          <a:noFill/>
                          <a:ln w="9525">
                            <a:noFill/>
                            <a:miter lim="800000"/>
                            <a:headEnd/>
                            <a:tailEnd/>
                          </a:ln>
                        </pic:spPr>
                      </pic:pic>
                    </a:graphicData>
                  </a:graphic>
                </wp:inline>
              </w:drawing>
            </w:r>
            <w:r>
              <w:rPr>
                <w:rFonts w:ascii="LegacySerif-Book" w:hAnsi="LegacySerif-Book" w:cs="LegacySerif-Book"/>
                <w:color w:val="211808"/>
              </w:rPr>
              <w:t xml:space="preserve">      </w:t>
            </w:r>
          </w:p>
        </w:tc>
        <w:tc>
          <w:tcPr>
            <w:tcW w:w="1326" w:type="dxa"/>
          </w:tcPr>
          <w:p w:rsidR="00D2466C" w:rsidRDefault="00D2466C" w:rsidP="00D2466C">
            <w:pPr>
              <w:autoSpaceDE w:val="0"/>
              <w:autoSpaceDN w:val="0"/>
              <w:adjustRightInd w:val="0"/>
              <w:spacing w:line="240" w:lineRule="auto"/>
              <w:rPr>
                <w:rFonts w:ascii="Myriad-Roman" w:hAnsi="Myriad-Roman" w:cs="Myriad-Roman"/>
                <w:sz w:val="18"/>
                <w:szCs w:val="18"/>
              </w:rPr>
            </w:pPr>
          </w:p>
          <w:p w:rsidR="00D2466C" w:rsidRDefault="00D2466C" w:rsidP="00D2466C">
            <w:pPr>
              <w:autoSpaceDE w:val="0"/>
              <w:autoSpaceDN w:val="0"/>
              <w:adjustRightInd w:val="0"/>
              <w:spacing w:line="240" w:lineRule="auto"/>
              <w:rPr>
                <w:rFonts w:ascii="Myriad-Roman" w:hAnsi="Myriad-Roman" w:cs="Myriad-Roman"/>
                <w:sz w:val="18"/>
                <w:szCs w:val="18"/>
              </w:rPr>
            </w:pPr>
          </w:p>
          <w:p w:rsidR="00D2466C" w:rsidRDefault="00D2466C" w:rsidP="00D2466C">
            <w:pPr>
              <w:autoSpaceDE w:val="0"/>
              <w:autoSpaceDN w:val="0"/>
              <w:adjustRightInd w:val="0"/>
              <w:spacing w:line="240" w:lineRule="auto"/>
              <w:rPr>
                <w:rFonts w:ascii="Myriad-Roman" w:hAnsi="Myriad-Roman" w:cs="Myriad-Roman"/>
                <w:sz w:val="18"/>
                <w:szCs w:val="18"/>
              </w:rPr>
            </w:pPr>
          </w:p>
          <w:p w:rsidR="00D2466C" w:rsidRDefault="00D2466C" w:rsidP="00D2466C">
            <w:pPr>
              <w:autoSpaceDE w:val="0"/>
              <w:autoSpaceDN w:val="0"/>
              <w:adjustRightInd w:val="0"/>
              <w:spacing w:line="240" w:lineRule="auto"/>
              <w:rPr>
                <w:rFonts w:ascii="Myriad-Roman" w:hAnsi="Myriad-Roman" w:cs="Myriad-Roman"/>
                <w:sz w:val="18"/>
                <w:szCs w:val="18"/>
              </w:rPr>
            </w:pPr>
          </w:p>
          <w:p w:rsidR="00D2466C" w:rsidRDefault="00D2466C" w:rsidP="00D2466C">
            <w:pPr>
              <w:autoSpaceDE w:val="0"/>
              <w:autoSpaceDN w:val="0"/>
              <w:adjustRightInd w:val="0"/>
              <w:spacing w:line="240" w:lineRule="auto"/>
              <w:rPr>
                <w:rFonts w:ascii="Myriad-Roman" w:hAnsi="Myriad-Roman" w:cs="Myriad-Roman"/>
                <w:sz w:val="18"/>
                <w:szCs w:val="18"/>
              </w:rPr>
            </w:pPr>
          </w:p>
          <w:p w:rsidR="008E6C37" w:rsidRPr="00D2466C" w:rsidRDefault="008E6C37" w:rsidP="00D2466C">
            <w:pPr>
              <w:autoSpaceDE w:val="0"/>
              <w:autoSpaceDN w:val="0"/>
              <w:adjustRightInd w:val="0"/>
              <w:spacing w:line="240" w:lineRule="auto"/>
              <w:rPr>
                <w:rFonts w:asciiTheme="majorBidi" w:hAnsiTheme="majorBidi" w:cstheme="majorBidi"/>
                <w:sz w:val="20"/>
                <w:szCs w:val="20"/>
              </w:rPr>
            </w:pPr>
            <w:r w:rsidRPr="00D2466C">
              <w:rPr>
                <w:rFonts w:asciiTheme="majorBidi" w:hAnsiTheme="majorBidi" w:cstheme="majorBidi"/>
                <w:i/>
                <w:iCs/>
                <w:sz w:val="20"/>
                <w:szCs w:val="20"/>
              </w:rPr>
              <w:t>Jean Piaget</w:t>
            </w:r>
            <w:r w:rsidRPr="00D2466C">
              <w:rPr>
                <w:rFonts w:asciiTheme="majorBidi" w:hAnsiTheme="majorBidi" w:cstheme="majorBidi"/>
                <w:sz w:val="20"/>
                <w:szCs w:val="20"/>
              </w:rPr>
              <w:t xml:space="preserve"> (1896-1980)</w:t>
            </w:r>
          </w:p>
        </w:tc>
      </w:tr>
    </w:tbl>
    <w:p w:rsidR="00C22687" w:rsidRDefault="00C22687" w:rsidP="00C22687">
      <w:pPr>
        <w:pStyle w:val="Default"/>
        <w:spacing w:after="240" w:line="360" w:lineRule="auto"/>
        <w:jc w:val="both"/>
      </w:pPr>
      <w:r w:rsidRPr="00C22687">
        <w:t xml:space="preserve">un courant de pensée assez général qu’on a appelé le structuralisme. C’est l’étude des mécanismes et processus permettant la construction de la réalité chez les sujets à partir d'éléments déjà intégrés (théorie de l'apprentissage). </w:t>
      </w:r>
    </w:p>
    <w:p w:rsidR="00C22687" w:rsidRDefault="00601CDF" w:rsidP="00C22687">
      <w:pPr>
        <w:pStyle w:val="Default"/>
        <w:spacing w:line="360" w:lineRule="auto"/>
        <w:jc w:val="both"/>
      </w:pPr>
      <w:r>
        <w:rPr>
          <w:b/>
          <w:bCs/>
        </w:rPr>
        <w:t>4.4.</w:t>
      </w:r>
      <w:r w:rsidR="00C22687" w:rsidRPr="00C22687">
        <w:rPr>
          <w:b/>
          <w:bCs/>
        </w:rPr>
        <w:t xml:space="preserve">Le courant Computationnel </w:t>
      </w:r>
      <w:r w:rsidR="00C22687" w:rsidRPr="00C22687">
        <w:t>: Chomsky, Simon, Newell et al (1950-1990). Dans le prolongement de l’effort de guerre américain, les années cinquante vont connaître un développement extraordinaire de nouvelles techniq</w:t>
      </w:r>
      <w:r w:rsidR="00C22687">
        <w:t>ues dérivées de l’électronique.</w:t>
      </w:r>
    </w:p>
    <w:p w:rsidR="00C22687" w:rsidRDefault="00C22687" w:rsidP="00C22687">
      <w:pPr>
        <w:pStyle w:val="Default"/>
        <w:spacing w:line="360" w:lineRule="auto"/>
        <w:jc w:val="both"/>
      </w:pPr>
      <w:r>
        <w:t xml:space="preserve">     </w:t>
      </w:r>
      <w:r w:rsidRPr="00C22687">
        <w:t>L’invention de l'ordi</w:t>
      </w:r>
      <w:r w:rsidR="00853007">
        <w:t>nateur a permis</w:t>
      </w:r>
      <w:r w:rsidRPr="00C22687">
        <w:t xml:space="preserve"> de le prendre comme un modèle de l'activité mentale. Cette dernière inspirera les chercheurs pour créer l’intelligence artificielle. L’informatique va construire un nouveau mode de pensée chez les chercheurs qui deviennent de plus en plus nombreux, surtout à partir des années soixante. Dans cette perspective, l’étude des mécanismes psychologiques est conçue comme un traitement de l’information, ainsi c’est la genèse de la perspective du traitement de l’information (</w:t>
      </w:r>
      <w:r w:rsidRPr="00C22687">
        <w:rPr>
          <w:i/>
          <w:iCs/>
        </w:rPr>
        <w:t>information processing</w:t>
      </w:r>
      <w:r w:rsidRPr="00C22687">
        <w:t xml:space="preserve">). </w:t>
      </w:r>
    </w:p>
    <w:p w:rsidR="00C22687" w:rsidRDefault="00C22687" w:rsidP="00C22687">
      <w:pPr>
        <w:pStyle w:val="Default"/>
        <w:spacing w:after="240" w:line="360" w:lineRule="auto"/>
        <w:jc w:val="both"/>
        <w:rPr>
          <w:sz w:val="23"/>
          <w:szCs w:val="23"/>
        </w:rPr>
      </w:pPr>
      <w:r>
        <w:t xml:space="preserve">      </w:t>
      </w:r>
      <w:r w:rsidRPr="00C22687">
        <w:t>Les informations physiques, son et lumière, sont transformées « codées » au niveau de nos organes sensoriels avant d’être synthétisées en objets mentaux, mots et</w:t>
      </w:r>
      <w:r w:rsidRPr="00C22687">
        <w:rPr>
          <w:sz w:val="23"/>
          <w:szCs w:val="23"/>
        </w:rPr>
        <w:t xml:space="preserve"> </w:t>
      </w:r>
      <w:r>
        <w:rPr>
          <w:sz w:val="23"/>
          <w:szCs w:val="23"/>
        </w:rPr>
        <w:lastRenderedPageBreak/>
        <w:t xml:space="preserve">images dans des mémoires spécialisées. Ainsi, l’étude des représentations mentales de la connaissance est réhabilitée contre le behaviorisme strict qui les avait écartées. Cette nouvelle psychologie prend le nom de psychologie cognitive (cognitivisme). </w:t>
      </w:r>
      <w:r w:rsidRPr="00C451A5">
        <w:rPr>
          <w:rFonts w:asciiTheme="majorBidi" w:hAnsiTheme="majorBidi" w:cstheme="majorBidi"/>
          <w:color w:val="211808"/>
        </w:rPr>
        <w:t>(</w:t>
      </w:r>
      <w:r w:rsidRPr="00C451A5">
        <w:rPr>
          <w:rFonts w:asciiTheme="majorBidi" w:hAnsiTheme="majorBidi" w:cstheme="majorBidi"/>
        </w:rPr>
        <w:t>Laure LEGER, 2016).</w:t>
      </w:r>
    </w:p>
    <w:p w:rsidR="006D6328" w:rsidRPr="00C22687" w:rsidRDefault="00601CDF" w:rsidP="00C22687">
      <w:pPr>
        <w:pStyle w:val="Default"/>
        <w:spacing w:line="360" w:lineRule="auto"/>
        <w:jc w:val="both"/>
      </w:pPr>
      <w:r>
        <w:rPr>
          <w:b/>
          <w:bCs/>
          <w:sz w:val="23"/>
          <w:szCs w:val="23"/>
        </w:rPr>
        <w:t>4.5.</w:t>
      </w:r>
      <w:r w:rsidR="00C22687">
        <w:rPr>
          <w:b/>
          <w:bCs/>
          <w:sz w:val="23"/>
          <w:szCs w:val="23"/>
        </w:rPr>
        <w:t xml:space="preserve">Le cognitivisme : </w:t>
      </w:r>
      <w:r w:rsidR="00C22687">
        <w:rPr>
          <w:sz w:val="23"/>
          <w:szCs w:val="23"/>
        </w:rPr>
        <w:t xml:space="preserve">(1990 à aujourd'hui) L’étude du développement et les processus de l’esprit, les événements mentaux a maintenant des fondements scientifiques d’où utilisation de la méthode scientifique pour la recherche en psychologie cognitive. En s’appuyant sur différentes méthodologies, qui elles-mêmes reposent sur une méthode scientifique codifiée par </w:t>
      </w:r>
      <w:r w:rsidR="00C22687">
        <w:rPr>
          <w:b/>
          <w:bCs/>
          <w:sz w:val="23"/>
          <w:szCs w:val="23"/>
        </w:rPr>
        <w:t xml:space="preserve">Claude Bernard </w:t>
      </w:r>
      <w:r w:rsidR="00C22687">
        <w:rPr>
          <w:sz w:val="23"/>
          <w:szCs w:val="23"/>
        </w:rPr>
        <w:t>en OHERIC : Observation, Hypothèses, Expérimentation, Résultat, Interprétation et Conclusion. C’est une démarche bien organisée. C’est l’une des plus importantes méthodes en psychologie.</w:t>
      </w:r>
    </w:p>
    <w:p w:rsidR="00680ED8" w:rsidRPr="00B810D9" w:rsidRDefault="00680ED8" w:rsidP="00B810D9">
      <w:pPr>
        <w:autoSpaceDE w:val="0"/>
        <w:autoSpaceDN w:val="0"/>
        <w:adjustRightInd w:val="0"/>
        <w:spacing w:after="0"/>
        <w:rPr>
          <w:rFonts w:ascii="LegacySerif-Book" w:hAnsi="LegacySerif-Book" w:cs="LegacySerif-Book"/>
          <w:color w:val="211808"/>
          <w:sz w:val="22"/>
          <w:szCs w:val="22"/>
        </w:rPr>
      </w:pPr>
    </w:p>
    <w:p w:rsidR="00154C63" w:rsidRPr="00D24BC6" w:rsidRDefault="00154C63" w:rsidP="004E7BA7">
      <w:pPr>
        <w:autoSpaceDE w:val="0"/>
        <w:autoSpaceDN w:val="0"/>
        <w:adjustRightInd w:val="0"/>
        <w:spacing w:after="0" w:line="240" w:lineRule="auto"/>
        <w:rPr>
          <w:rFonts w:asciiTheme="majorBidi" w:hAnsiTheme="majorBidi" w:cstheme="majorBidi"/>
        </w:rPr>
      </w:pPr>
    </w:p>
    <w:p w:rsidR="002E52B7" w:rsidRDefault="002E52B7"/>
    <w:p w:rsidR="00C22687" w:rsidRDefault="00C22687"/>
    <w:p w:rsidR="00C22687" w:rsidRDefault="00C22687"/>
    <w:p w:rsidR="00C22687" w:rsidRDefault="00C22687"/>
    <w:p w:rsidR="00C22687" w:rsidRDefault="00C22687"/>
    <w:p w:rsidR="00C22687" w:rsidRDefault="00C22687"/>
    <w:p w:rsidR="00C22687" w:rsidRDefault="00C22687"/>
    <w:p w:rsidR="00C22687" w:rsidRDefault="00C22687"/>
    <w:p w:rsidR="00C22687" w:rsidRPr="00C22687" w:rsidRDefault="00C22687" w:rsidP="00C22687">
      <w:pPr>
        <w:jc w:val="right"/>
        <w:rPr>
          <w:b/>
          <w:bCs/>
          <w:sz w:val="32"/>
          <w:szCs w:val="32"/>
        </w:rPr>
      </w:pPr>
      <w:r>
        <w:rPr>
          <w:b/>
          <w:bCs/>
          <w:sz w:val="32"/>
          <w:szCs w:val="32"/>
        </w:rPr>
        <w:t>…/…</w:t>
      </w:r>
    </w:p>
    <w:sectPr w:rsidR="00C22687" w:rsidRPr="00C22687" w:rsidSect="00E0119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C6D" w:rsidRDefault="00047C6D" w:rsidP="000748D4">
      <w:pPr>
        <w:spacing w:after="0" w:line="240" w:lineRule="auto"/>
      </w:pPr>
      <w:r>
        <w:separator/>
      </w:r>
    </w:p>
  </w:endnote>
  <w:endnote w:type="continuationSeparator" w:id="1">
    <w:p w:rsidR="00047C6D" w:rsidRDefault="00047C6D"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f-Book">
    <w:altName w:val="Times New Roman"/>
    <w:panose1 w:val="00000000000000000000"/>
    <w:charset w:val="00"/>
    <w:family w:val="roman"/>
    <w:notTrueType/>
    <w:pitch w:val="default"/>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687" w:rsidRDefault="00C22687" w:rsidP="00C22687">
    <w:pPr>
      <w:pStyle w:val="Pieddepage"/>
      <w:jc w:val="right"/>
    </w:pPr>
    <w:r>
      <w:t>Enseignant : Mohamadi Smail</w:t>
    </w:r>
  </w:p>
  <w:p w:rsidR="00C22687" w:rsidRDefault="00C226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C6D" w:rsidRDefault="00047C6D" w:rsidP="000748D4">
      <w:pPr>
        <w:spacing w:after="0" w:line="240" w:lineRule="auto"/>
      </w:pPr>
      <w:r>
        <w:separator/>
      </w:r>
    </w:p>
  </w:footnote>
  <w:footnote w:type="continuationSeparator" w:id="1">
    <w:p w:rsidR="00047C6D" w:rsidRDefault="00047C6D"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A7" w:rsidRDefault="003233EE" w:rsidP="000748D4">
    <w:pPr>
      <w:pStyle w:val="En-tte"/>
      <w:pBdr>
        <w:between w:val="single" w:sz="4" w:space="1" w:color="4F81BD" w:themeColor="accent1"/>
      </w:pBdr>
      <w:spacing w:line="276" w:lineRule="auto"/>
      <w:jc w:val="center"/>
    </w:pPr>
    <w:sdt>
      <w:sdtPr>
        <w:alias w:val="Titre"/>
        <w:id w:val="77547040"/>
        <w:placeholder>
          <w:docPart w:val="2EB5827B4B0B47209DB32D5C6AC04B5F"/>
        </w:placeholder>
        <w:dataBinding w:prefixMappings="xmlns:ns0='http://schemas.openxmlformats.org/package/2006/metadata/core-properties' xmlns:ns1='http://purl.org/dc/elements/1.1/'" w:xpath="/ns0:coreProperties[1]/ns1:title[1]" w:storeItemID="{6C3C8BC8-F283-45AE-878A-BAB7291924A1}"/>
        <w:text/>
      </w:sdtPr>
      <w:sdtContent>
        <w:r w:rsidR="004E7BA7">
          <w:t>Psychologie cognitive (Introduction)</w:t>
        </w:r>
      </w:sdtContent>
    </w:sdt>
  </w:p>
  <w:sdt>
    <w:sdtPr>
      <w:alias w:val="Date"/>
      <w:id w:val="77547044"/>
      <w:placeholder>
        <w:docPart w:val="3E6A06D4321A4AC58AE06F7B60AB0732"/>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4E7BA7" w:rsidRDefault="004E7BA7" w:rsidP="000748D4">
        <w:pPr>
          <w:pStyle w:val="En-tte"/>
          <w:pBdr>
            <w:between w:val="single" w:sz="4" w:space="1" w:color="4F81BD" w:themeColor="accent1"/>
          </w:pBdr>
          <w:spacing w:line="276" w:lineRule="auto"/>
          <w:jc w:val="center"/>
        </w:pPr>
        <w:r>
          <w:t>Cours  N  03</w:t>
        </w:r>
      </w:p>
    </w:sdtContent>
  </w:sdt>
  <w:p w:rsidR="004E7BA7" w:rsidRDefault="004E7BA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4B0DC50"/>
    <w:lvl w:ilvl="0" w:tplc="67325A38">
      <w:start w:val="1"/>
      <w:numFmt w:val="bullet"/>
      <w:lvlText w:val="«"/>
      <w:lvlJc w:val="left"/>
    </w:lvl>
    <w:lvl w:ilvl="1" w:tplc="AF7C998A">
      <w:start w:val="1"/>
      <w:numFmt w:val="bullet"/>
      <w:lvlText w:val=""/>
      <w:lvlJc w:val="left"/>
    </w:lvl>
    <w:lvl w:ilvl="2" w:tplc="D5FEF4D6">
      <w:start w:val="1"/>
      <w:numFmt w:val="bullet"/>
      <w:lvlText w:val=""/>
      <w:lvlJc w:val="left"/>
    </w:lvl>
    <w:lvl w:ilvl="3" w:tplc="4BF6758E">
      <w:start w:val="1"/>
      <w:numFmt w:val="bullet"/>
      <w:lvlText w:val=""/>
      <w:lvlJc w:val="left"/>
    </w:lvl>
    <w:lvl w:ilvl="4" w:tplc="30D234A6">
      <w:start w:val="1"/>
      <w:numFmt w:val="bullet"/>
      <w:lvlText w:val=""/>
      <w:lvlJc w:val="left"/>
    </w:lvl>
    <w:lvl w:ilvl="5" w:tplc="0F84ACAE">
      <w:start w:val="1"/>
      <w:numFmt w:val="bullet"/>
      <w:lvlText w:val=""/>
      <w:lvlJc w:val="left"/>
    </w:lvl>
    <w:lvl w:ilvl="6" w:tplc="25C2D808">
      <w:start w:val="1"/>
      <w:numFmt w:val="bullet"/>
      <w:lvlText w:val=""/>
      <w:lvlJc w:val="left"/>
    </w:lvl>
    <w:lvl w:ilvl="7" w:tplc="25546F30">
      <w:start w:val="1"/>
      <w:numFmt w:val="bullet"/>
      <w:lvlText w:val=""/>
      <w:lvlJc w:val="left"/>
    </w:lvl>
    <w:lvl w:ilvl="8" w:tplc="F7762A36">
      <w:start w:val="1"/>
      <w:numFmt w:val="bullet"/>
      <w:lvlText w:val=""/>
      <w:lvlJc w:val="left"/>
    </w:lvl>
  </w:abstractNum>
  <w:abstractNum w:abstractNumId="1">
    <w:nsid w:val="00000003"/>
    <w:multiLevelType w:val="hybridMultilevel"/>
    <w:tmpl w:val="19495CFE"/>
    <w:lvl w:ilvl="0" w:tplc="DD1AEB10">
      <w:start w:val="1"/>
      <w:numFmt w:val="bullet"/>
      <w:lvlText w:val="-"/>
      <w:lvlJc w:val="left"/>
    </w:lvl>
    <w:lvl w:ilvl="1" w:tplc="872C1434">
      <w:start w:val="1"/>
      <w:numFmt w:val="bullet"/>
      <w:lvlText w:val=""/>
      <w:lvlJc w:val="left"/>
    </w:lvl>
    <w:lvl w:ilvl="2" w:tplc="6A884C46">
      <w:start w:val="1"/>
      <w:numFmt w:val="bullet"/>
      <w:lvlText w:val=""/>
      <w:lvlJc w:val="left"/>
    </w:lvl>
    <w:lvl w:ilvl="3" w:tplc="AAB0BB5A">
      <w:start w:val="1"/>
      <w:numFmt w:val="bullet"/>
      <w:lvlText w:val=""/>
      <w:lvlJc w:val="left"/>
    </w:lvl>
    <w:lvl w:ilvl="4" w:tplc="08A03A88">
      <w:start w:val="1"/>
      <w:numFmt w:val="bullet"/>
      <w:lvlText w:val=""/>
      <w:lvlJc w:val="left"/>
    </w:lvl>
    <w:lvl w:ilvl="5" w:tplc="EFC26376">
      <w:start w:val="1"/>
      <w:numFmt w:val="bullet"/>
      <w:lvlText w:val=""/>
      <w:lvlJc w:val="left"/>
    </w:lvl>
    <w:lvl w:ilvl="6" w:tplc="39A03B68">
      <w:start w:val="1"/>
      <w:numFmt w:val="bullet"/>
      <w:lvlText w:val=""/>
      <w:lvlJc w:val="left"/>
    </w:lvl>
    <w:lvl w:ilvl="7" w:tplc="5CD01BEE">
      <w:start w:val="1"/>
      <w:numFmt w:val="bullet"/>
      <w:lvlText w:val=""/>
      <w:lvlJc w:val="left"/>
    </w:lvl>
    <w:lvl w:ilvl="8" w:tplc="DDF0BD22">
      <w:start w:val="1"/>
      <w:numFmt w:val="bullet"/>
      <w:lvlText w:val=""/>
      <w:lvlJc w:val="left"/>
    </w:lvl>
  </w:abstractNum>
  <w:abstractNum w:abstractNumId="2">
    <w:nsid w:val="00D8108B"/>
    <w:multiLevelType w:val="hybridMultilevel"/>
    <w:tmpl w:val="A09884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3059D5"/>
    <w:multiLevelType w:val="hybridMultilevel"/>
    <w:tmpl w:val="288CF7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276E62"/>
    <w:multiLevelType w:val="multilevel"/>
    <w:tmpl w:val="619E55AA"/>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211808"/>
      </w:rPr>
    </w:lvl>
    <w:lvl w:ilvl="2">
      <w:start w:val="1"/>
      <w:numFmt w:val="decimal"/>
      <w:isLgl/>
      <w:lvlText w:val="%1.%2.%3."/>
      <w:lvlJc w:val="left"/>
      <w:pPr>
        <w:ind w:left="1440" w:hanging="720"/>
      </w:pPr>
      <w:rPr>
        <w:rFonts w:hint="default"/>
        <w:b/>
        <w:color w:val="211808"/>
      </w:rPr>
    </w:lvl>
    <w:lvl w:ilvl="3">
      <w:start w:val="1"/>
      <w:numFmt w:val="decimal"/>
      <w:isLgl/>
      <w:lvlText w:val="%1.%2.%3.%4."/>
      <w:lvlJc w:val="left"/>
      <w:pPr>
        <w:ind w:left="1440" w:hanging="720"/>
      </w:pPr>
      <w:rPr>
        <w:rFonts w:hint="default"/>
        <w:b/>
        <w:color w:val="211808"/>
      </w:rPr>
    </w:lvl>
    <w:lvl w:ilvl="4">
      <w:start w:val="1"/>
      <w:numFmt w:val="decimal"/>
      <w:isLgl/>
      <w:lvlText w:val="%1.%2.%3.%4.%5."/>
      <w:lvlJc w:val="left"/>
      <w:pPr>
        <w:ind w:left="1800" w:hanging="1080"/>
      </w:pPr>
      <w:rPr>
        <w:rFonts w:hint="default"/>
        <w:b/>
        <w:color w:val="211808"/>
      </w:rPr>
    </w:lvl>
    <w:lvl w:ilvl="5">
      <w:start w:val="1"/>
      <w:numFmt w:val="decimal"/>
      <w:isLgl/>
      <w:lvlText w:val="%1.%2.%3.%4.%5.%6."/>
      <w:lvlJc w:val="left"/>
      <w:pPr>
        <w:ind w:left="1800" w:hanging="1080"/>
      </w:pPr>
      <w:rPr>
        <w:rFonts w:hint="default"/>
        <w:b/>
        <w:color w:val="211808"/>
      </w:rPr>
    </w:lvl>
    <w:lvl w:ilvl="6">
      <w:start w:val="1"/>
      <w:numFmt w:val="decimal"/>
      <w:isLgl/>
      <w:lvlText w:val="%1.%2.%3.%4.%5.%6.%7."/>
      <w:lvlJc w:val="left"/>
      <w:pPr>
        <w:ind w:left="2160" w:hanging="1440"/>
      </w:pPr>
      <w:rPr>
        <w:rFonts w:hint="default"/>
        <w:b/>
        <w:color w:val="211808"/>
      </w:rPr>
    </w:lvl>
    <w:lvl w:ilvl="7">
      <w:start w:val="1"/>
      <w:numFmt w:val="decimal"/>
      <w:isLgl/>
      <w:lvlText w:val="%1.%2.%3.%4.%5.%6.%7.%8."/>
      <w:lvlJc w:val="left"/>
      <w:pPr>
        <w:ind w:left="2160" w:hanging="1440"/>
      </w:pPr>
      <w:rPr>
        <w:rFonts w:hint="default"/>
        <w:b/>
        <w:color w:val="211808"/>
      </w:rPr>
    </w:lvl>
    <w:lvl w:ilvl="8">
      <w:start w:val="1"/>
      <w:numFmt w:val="decimal"/>
      <w:isLgl/>
      <w:lvlText w:val="%1.%2.%3.%4.%5.%6.%7.%8.%9."/>
      <w:lvlJc w:val="left"/>
      <w:pPr>
        <w:ind w:left="2520" w:hanging="1800"/>
      </w:pPr>
      <w:rPr>
        <w:rFonts w:hint="default"/>
        <w:b/>
        <w:color w:val="211808"/>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0E0EB7"/>
    <w:rsid w:val="00013B33"/>
    <w:rsid w:val="00017F9D"/>
    <w:rsid w:val="000413C1"/>
    <w:rsid w:val="00047C6D"/>
    <w:rsid w:val="00055CCE"/>
    <w:rsid w:val="000620D8"/>
    <w:rsid w:val="000748D4"/>
    <w:rsid w:val="000A00EC"/>
    <w:rsid w:val="000B6F5E"/>
    <w:rsid w:val="000E0EB7"/>
    <w:rsid w:val="00101912"/>
    <w:rsid w:val="00133D11"/>
    <w:rsid w:val="001476CA"/>
    <w:rsid w:val="00154C63"/>
    <w:rsid w:val="00164B1E"/>
    <w:rsid w:val="00186A49"/>
    <w:rsid w:val="001A528E"/>
    <w:rsid w:val="001B7B54"/>
    <w:rsid w:val="001D3D93"/>
    <w:rsid w:val="001D536C"/>
    <w:rsid w:val="001D548C"/>
    <w:rsid w:val="001E718E"/>
    <w:rsid w:val="00215712"/>
    <w:rsid w:val="00224D9B"/>
    <w:rsid w:val="00231E3B"/>
    <w:rsid w:val="00264D74"/>
    <w:rsid w:val="00272426"/>
    <w:rsid w:val="002A565A"/>
    <w:rsid w:val="002E52B7"/>
    <w:rsid w:val="003233EE"/>
    <w:rsid w:val="0034247A"/>
    <w:rsid w:val="00374592"/>
    <w:rsid w:val="00374869"/>
    <w:rsid w:val="0038420D"/>
    <w:rsid w:val="00396D95"/>
    <w:rsid w:val="004310B6"/>
    <w:rsid w:val="004425EB"/>
    <w:rsid w:val="004561F6"/>
    <w:rsid w:val="00473482"/>
    <w:rsid w:val="004A0818"/>
    <w:rsid w:val="004B07BF"/>
    <w:rsid w:val="004D6AF5"/>
    <w:rsid w:val="004E3A3D"/>
    <w:rsid w:val="004E7BA7"/>
    <w:rsid w:val="004F79E3"/>
    <w:rsid w:val="00535907"/>
    <w:rsid w:val="00543B96"/>
    <w:rsid w:val="00547D6A"/>
    <w:rsid w:val="00551DE8"/>
    <w:rsid w:val="00552791"/>
    <w:rsid w:val="005C7CFD"/>
    <w:rsid w:val="005F659B"/>
    <w:rsid w:val="00601CDF"/>
    <w:rsid w:val="00610C88"/>
    <w:rsid w:val="0062542D"/>
    <w:rsid w:val="006627A7"/>
    <w:rsid w:val="00680ED8"/>
    <w:rsid w:val="00682773"/>
    <w:rsid w:val="006B2F80"/>
    <w:rsid w:val="006C22DB"/>
    <w:rsid w:val="006D6328"/>
    <w:rsid w:val="0076188F"/>
    <w:rsid w:val="00767A80"/>
    <w:rsid w:val="007C6CC9"/>
    <w:rsid w:val="007E5D64"/>
    <w:rsid w:val="00850494"/>
    <w:rsid w:val="00850873"/>
    <w:rsid w:val="00853007"/>
    <w:rsid w:val="00870494"/>
    <w:rsid w:val="00875CBF"/>
    <w:rsid w:val="00887FDB"/>
    <w:rsid w:val="008E6C37"/>
    <w:rsid w:val="009219E9"/>
    <w:rsid w:val="00922659"/>
    <w:rsid w:val="00924843"/>
    <w:rsid w:val="00931D11"/>
    <w:rsid w:val="00934EB7"/>
    <w:rsid w:val="009458D1"/>
    <w:rsid w:val="00975713"/>
    <w:rsid w:val="00995838"/>
    <w:rsid w:val="009B209E"/>
    <w:rsid w:val="009B7452"/>
    <w:rsid w:val="009C6AFE"/>
    <w:rsid w:val="009E6ADC"/>
    <w:rsid w:val="00A139FA"/>
    <w:rsid w:val="00A3146A"/>
    <w:rsid w:val="00A57ADE"/>
    <w:rsid w:val="00A63ADA"/>
    <w:rsid w:val="00A71E62"/>
    <w:rsid w:val="00A77C59"/>
    <w:rsid w:val="00A95D08"/>
    <w:rsid w:val="00AA5F20"/>
    <w:rsid w:val="00AB367B"/>
    <w:rsid w:val="00AC205A"/>
    <w:rsid w:val="00AE1D0A"/>
    <w:rsid w:val="00B415A5"/>
    <w:rsid w:val="00B810D9"/>
    <w:rsid w:val="00BA59BB"/>
    <w:rsid w:val="00BB3502"/>
    <w:rsid w:val="00BC2DE5"/>
    <w:rsid w:val="00BF19B9"/>
    <w:rsid w:val="00C22687"/>
    <w:rsid w:val="00C22B50"/>
    <w:rsid w:val="00C43706"/>
    <w:rsid w:val="00C451A5"/>
    <w:rsid w:val="00C820CC"/>
    <w:rsid w:val="00C95C55"/>
    <w:rsid w:val="00C97B90"/>
    <w:rsid w:val="00D01533"/>
    <w:rsid w:val="00D2466C"/>
    <w:rsid w:val="00D24BC6"/>
    <w:rsid w:val="00D30C46"/>
    <w:rsid w:val="00D81300"/>
    <w:rsid w:val="00D924C0"/>
    <w:rsid w:val="00DC2DBA"/>
    <w:rsid w:val="00DC6B5C"/>
    <w:rsid w:val="00DF549C"/>
    <w:rsid w:val="00E0119A"/>
    <w:rsid w:val="00E02EA7"/>
    <w:rsid w:val="00E1680E"/>
    <w:rsid w:val="00E31A04"/>
    <w:rsid w:val="00E3437A"/>
    <w:rsid w:val="00E35C80"/>
    <w:rsid w:val="00E474A8"/>
    <w:rsid w:val="00E80434"/>
    <w:rsid w:val="00E81C23"/>
    <w:rsid w:val="00EB01D5"/>
    <w:rsid w:val="00EE6362"/>
    <w:rsid w:val="00F20650"/>
    <w:rsid w:val="00F47039"/>
    <w:rsid w:val="00F82117"/>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 w:type="table" w:styleId="Grilledutableau">
    <w:name w:val="Table Grid"/>
    <w:basedOn w:val="TableauNormal"/>
    <w:uiPriority w:val="59"/>
    <w:rsid w:val="00547D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main">
    <w:name w:val="romain"/>
    <w:basedOn w:val="Policepardfaut"/>
    <w:rsid w:val="004561F6"/>
  </w:style>
  <w:style w:type="paragraph" w:customStyle="1" w:styleId="Default">
    <w:name w:val="Default"/>
    <w:rsid w:val="00C226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B5827B4B0B47209DB32D5C6AC04B5F"/>
        <w:category>
          <w:name w:val="Général"/>
          <w:gallery w:val="placeholder"/>
        </w:category>
        <w:types>
          <w:type w:val="bbPlcHdr"/>
        </w:types>
        <w:behaviors>
          <w:behavior w:val="content"/>
        </w:behaviors>
        <w:guid w:val="{640B9295-C299-4541-9C6D-A55432D1BBFE}"/>
      </w:docPartPr>
      <w:docPartBody>
        <w:p w:rsidR="00461B0E" w:rsidRDefault="000F4081" w:rsidP="000F4081">
          <w:pPr>
            <w:pStyle w:val="2EB5827B4B0B47209DB32D5C6AC04B5F"/>
          </w:pPr>
          <w:r>
            <w:t>[Tapez le titre du document]</w:t>
          </w:r>
        </w:p>
      </w:docPartBody>
    </w:docPart>
    <w:docPart>
      <w:docPartPr>
        <w:name w:val="3E6A06D4321A4AC58AE06F7B60AB0732"/>
        <w:category>
          <w:name w:val="Général"/>
          <w:gallery w:val="placeholder"/>
        </w:category>
        <w:types>
          <w:type w:val="bbPlcHdr"/>
        </w:types>
        <w:behaviors>
          <w:behavior w:val="content"/>
        </w:behaviors>
        <w:guid w:val="{56BE631B-B6E4-4FFE-BD91-6648709FC1D7}"/>
      </w:docPartPr>
      <w:docPartBody>
        <w:p w:rsidR="00461B0E" w:rsidRDefault="000F4081" w:rsidP="000F4081">
          <w:pPr>
            <w:pStyle w:val="3E6A06D4321A4AC58AE06F7B60AB0732"/>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f-Book">
    <w:altName w:val="Times New Roman"/>
    <w:panose1 w:val="00000000000000000000"/>
    <w:charset w:val="00"/>
    <w:family w:val="roman"/>
    <w:notTrueType/>
    <w:pitch w:val="default"/>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2E493E"/>
    <w:rsid w:val="003D40C9"/>
    <w:rsid w:val="00407150"/>
    <w:rsid w:val="00411A1A"/>
    <w:rsid w:val="00461B0E"/>
    <w:rsid w:val="00614020"/>
    <w:rsid w:val="006A1BFE"/>
    <w:rsid w:val="00822E0D"/>
    <w:rsid w:val="00A0534F"/>
    <w:rsid w:val="00B121CD"/>
    <w:rsid w:val="00C76F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4155C54BDF1745B3A7FAC52813D7D636">
    <w:name w:val="4155C54BDF1745B3A7FAC52813D7D636"/>
    <w:rsid w:val="002E49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1</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4883</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dc:title>
  <dc:creator>Magic touch</dc:creator>
  <cp:lastModifiedBy>Magic touch</cp:lastModifiedBy>
  <cp:revision>17</cp:revision>
  <cp:lastPrinted>2022-10-31T22:21:00Z</cp:lastPrinted>
  <dcterms:created xsi:type="dcterms:W3CDTF">2022-10-14T13:06:00Z</dcterms:created>
  <dcterms:modified xsi:type="dcterms:W3CDTF">2023-11-29T22:38:00Z</dcterms:modified>
</cp:coreProperties>
</file>