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>مخطط الدرس: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 xml:space="preserve">المحاضرة 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>ا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لأولى: مدخل مفاهيمي إلى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الاتصال والتواصل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محاضرة الثانية: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مدخل إلى البلاغة 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محاضرة الثالثة: 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 </w:t>
      </w:r>
      <w:hyperlink r:id="rId4" w:tooltip="أهمية البلاغة" w:history="1">
        <w:r w:rsidRPr="00737933">
          <w:rPr>
            <w:rFonts w:ascii="Century Gothic" w:eastAsia="Times New Roman" w:hAnsi="Century Gothic" w:cs="Times New Roman"/>
            <w:b/>
            <w:bCs/>
            <w:color w:val="000000" w:themeColor="text1"/>
            <w:sz w:val="32"/>
            <w:szCs w:val="32"/>
            <w:rtl/>
            <w:lang w:eastAsia="fr-FR"/>
          </w:rPr>
          <w:t>أهمية البلاغة</w:t>
        </w:r>
      </w:hyperlink>
      <w:r w:rsidRPr="00737933">
        <w:rPr>
          <w:rFonts w:ascii="Century Gothic" w:eastAsia="Times New Roman" w:hAnsi="Century Gothic" w:cs="Times New Roman"/>
          <w:b/>
          <w:bCs/>
          <w:color w:val="000000" w:themeColor="text1"/>
          <w:sz w:val="32"/>
          <w:szCs w:val="32"/>
          <w:rtl/>
          <w:lang w:eastAsia="fr-FR"/>
        </w:rPr>
        <w:t> 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وأهدافها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المحاضرة الرابعة: نشأة </w:t>
      </w:r>
      <w:proofErr w:type="gramStart"/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>البلاغة  وتطورها</w:t>
      </w:r>
      <w:proofErr w:type="gramEnd"/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المحاضرة الخامسة: العلاقة بين البلاغة والاتصال 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proofErr w:type="gramStart"/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 xml:space="preserve">المحاضرة 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السادسة</w:t>
      </w:r>
      <w:proofErr w:type="gramEnd"/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 xml:space="preserve">: 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أقسام البلاغة</w:t>
      </w:r>
      <w:r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و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أساليب</w:t>
      </w:r>
      <w:r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>ها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المحاضرة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السابعة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 xml:space="preserve">: 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علم البيان 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proofErr w:type="gramStart"/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>المحاضرة  الثامنة</w:t>
      </w:r>
      <w:proofErr w:type="gramEnd"/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: علم المعاني  وعلم البديع 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proofErr w:type="gramStart"/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 xml:space="preserve">المحاضرة 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التاسعة</w:t>
      </w:r>
      <w:proofErr w:type="gramEnd"/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 xml:space="preserve">: 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مثلث  البلاغة 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المحاضرة العاشرة: 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فن الإقناع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والاتصال الإقناعي 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proofErr w:type="gramStart"/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 xml:space="preserve">المحاضرة </w:t>
      </w: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الحادية</w:t>
      </w:r>
      <w:proofErr w:type="gramEnd"/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 عشر </w:t>
      </w:r>
      <w:r w:rsidRPr="00737933"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  <w:t>:الحجة والحجاج الخطالة الجديدة</w:t>
      </w:r>
    </w:p>
    <w:p w:rsidR="00737933" w:rsidRPr="00737933" w:rsidRDefault="00737933" w:rsidP="00737933">
      <w:pPr>
        <w:shd w:val="clear" w:color="auto" w:fill="FFFFFF"/>
        <w:bidi/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color w:val="656565"/>
          <w:sz w:val="32"/>
          <w:szCs w:val="32"/>
          <w:rtl/>
          <w:lang w:eastAsia="fr-FR"/>
        </w:rPr>
      </w:pPr>
      <w:r w:rsidRPr="00737933">
        <w:rPr>
          <w:rFonts w:ascii="Century Gothic" w:eastAsia="Times New Roman" w:hAnsi="Century Gothic" w:cs="Times New Roman" w:hint="cs"/>
          <w:b/>
          <w:bCs/>
          <w:color w:val="656565"/>
          <w:sz w:val="32"/>
          <w:szCs w:val="32"/>
          <w:rtl/>
          <w:lang w:eastAsia="fr-FR"/>
        </w:rPr>
        <w:t xml:space="preserve">المحاضرة الثانية عشر: بلاغة الخطاب الإشهاري </w:t>
      </w:r>
    </w:p>
    <w:p w:rsidR="00C233E0" w:rsidRPr="00737933" w:rsidRDefault="00C233E0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C233E0" w:rsidRPr="0073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2"/>
    <w:rsid w:val="00737933"/>
    <w:rsid w:val="00821342"/>
    <w:rsid w:val="00C2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A60E"/>
  <w15:chartTrackingRefBased/>
  <w15:docId w15:val="{8EE5611B-F9EE-41B9-9F66-580A265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9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odle.univ-dbkm.dz/mod/url/view.php?id=66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2024-10-31T18:12:00Z</dcterms:created>
  <dcterms:modified xsi:type="dcterms:W3CDTF">2024-10-31T18:13:00Z</dcterms:modified>
</cp:coreProperties>
</file>