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95" w:rsidRPr="00096D95" w:rsidRDefault="00096D95" w:rsidP="00096D95">
      <w:pPr>
        <w:shd w:val="clear" w:color="auto" w:fill="DFEFFF"/>
        <w:bidi/>
        <w:spacing w:before="105" w:after="105"/>
        <w:jc w:val="both"/>
        <w:outlineLvl w:val="0"/>
        <w:rPr>
          <w:rFonts w:ascii="Andalus" w:eastAsia="Times New Roman" w:hAnsi="Andalus" w:cs="Andalus"/>
          <w:b/>
          <w:bCs/>
          <w:kern w:val="36"/>
          <w:sz w:val="36"/>
          <w:szCs w:val="36"/>
          <w:lang w:eastAsia="fr-FR"/>
        </w:rPr>
      </w:pPr>
      <w:proofErr w:type="gramStart"/>
      <w:r w:rsidRPr="00096D95">
        <w:rPr>
          <w:rFonts w:ascii="Andalus" w:eastAsia="Times New Roman" w:hAnsi="Andalus" w:cs="Andalus"/>
          <w:b/>
          <w:bCs/>
          <w:kern w:val="36"/>
          <w:sz w:val="36"/>
          <w:szCs w:val="36"/>
          <w:rtl/>
          <w:lang w:eastAsia="fr-FR"/>
        </w:rPr>
        <w:t>أنواع</w:t>
      </w:r>
      <w:proofErr w:type="gramEnd"/>
      <w:r w:rsidRPr="00096D95">
        <w:rPr>
          <w:rFonts w:ascii="Andalus" w:eastAsia="Times New Roman" w:hAnsi="Andalus" w:cs="Andalus"/>
          <w:b/>
          <w:bCs/>
          <w:kern w:val="36"/>
          <w:sz w:val="36"/>
          <w:szCs w:val="36"/>
          <w:rtl/>
          <w:lang w:eastAsia="fr-FR"/>
        </w:rPr>
        <w:t xml:space="preserve"> الالتزامات ومصادرها</w:t>
      </w:r>
    </w:p>
    <w:p w:rsidR="00096D95" w:rsidRPr="00096D95" w:rsidRDefault="00096D95" w:rsidP="00096D95">
      <w:pPr>
        <w:shd w:val="clear" w:color="auto" w:fill="DFEFFF"/>
        <w:bidi/>
        <w:spacing w:after="0"/>
        <w:jc w:val="both"/>
        <w:rPr>
          <w:rFonts w:ascii="Andalus" w:eastAsia="Times New Roman" w:hAnsi="Andalus" w:cs="Andalus"/>
          <w:sz w:val="36"/>
          <w:szCs w:val="36"/>
          <w:lang w:eastAsia="fr-FR"/>
        </w:rPr>
      </w:pPr>
      <w:hyperlink r:id="rId4" w:history="1">
        <w:proofErr w:type="spellStart"/>
        <w:r w:rsidRPr="00096D95">
          <w:rPr>
            <w:rFonts w:ascii="Andalus" w:eastAsia="Times New Roman" w:hAnsi="Andalus" w:cs="Andalus"/>
            <w:color w:val="0000FF"/>
            <w:sz w:val="36"/>
            <w:szCs w:val="36"/>
            <w:u w:val="single"/>
            <w:lang w:eastAsia="fr-FR"/>
          </w:rPr>
          <w:t>Share</w:t>
        </w:r>
        <w:proofErr w:type="spellEnd"/>
      </w:hyperlink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 xml:space="preserve"> | </w:t>
      </w:r>
    </w:p>
    <w:p w:rsidR="00096D95" w:rsidRPr="00096D95" w:rsidRDefault="00096D95" w:rsidP="00096D95">
      <w:pPr>
        <w:shd w:val="clear" w:color="auto" w:fill="DFEFFF"/>
        <w:bidi/>
        <w:spacing w:after="0"/>
        <w:jc w:val="both"/>
        <w:rPr>
          <w:rFonts w:ascii="Andalus" w:eastAsia="Times New Roman" w:hAnsi="Andalus" w:cs="Andalus"/>
          <w:sz w:val="36"/>
          <w:szCs w:val="36"/>
          <w:lang w:eastAsia="fr-FR"/>
        </w:rPr>
      </w:pP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الكلية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> </w:t>
      </w:r>
      <w:hyperlink r:id="rId5" w:history="1">
        <w:r w:rsidRPr="00096D95">
          <w:rPr>
            <w:rFonts w:ascii="Andalus" w:eastAsia="Times New Roman" w:hAnsi="Andalus" w:cs="Andalus"/>
            <w:color w:val="0000FF"/>
            <w:sz w:val="36"/>
            <w:szCs w:val="36"/>
            <w:u w:val="single"/>
            <w:rtl/>
            <w:lang w:eastAsia="fr-FR"/>
          </w:rPr>
          <w:t>كلية القانون</w:t>
        </w:r>
      </w:hyperlink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 xml:space="preserve">     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القسم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> </w:t>
      </w:r>
      <w:hyperlink r:id="rId6" w:history="1">
        <w:r w:rsidRPr="00096D95">
          <w:rPr>
            <w:rFonts w:ascii="Andalus" w:eastAsia="Times New Roman" w:hAnsi="Andalus" w:cs="Andalus"/>
            <w:color w:val="0000FF"/>
            <w:sz w:val="36"/>
            <w:szCs w:val="36"/>
            <w:u w:val="single"/>
            <w:rtl/>
            <w:lang w:eastAsia="fr-FR"/>
          </w:rPr>
          <w:t>قسم القانون الخاص</w:t>
        </w:r>
      </w:hyperlink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 xml:space="preserve">     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المرحلة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 xml:space="preserve"> 2 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br/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أستاذ المادة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> 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عبدالامير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جفات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كروان موسى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الشباني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</w:t>
      </w:r>
      <w:r w:rsidRPr="00096D95">
        <w:rPr>
          <w:rFonts w:ascii="Andalus" w:eastAsia="Times New Roman" w:hAnsi="Andalus" w:cs="Andalus"/>
          <w:sz w:val="36"/>
          <w:szCs w:val="36"/>
          <w:lang w:eastAsia="fr-FR"/>
        </w:rPr>
        <w:t xml:space="preserve">      27/11/2014 01:13:28 </w:t>
      </w:r>
    </w:p>
    <w:p w:rsidR="00096D95" w:rsidRPr="00096D95" w:rsidRDefault="00096D95" w:rsidP="00096D95">
      <w:pPr>
        <w:bidi/>
        <w:jc w:val="both"/>
        <w:rPr>
          <w:rFonts w:ascii="Andalus" w:eastAsia="Times New Roman" w:hAnsi="Andalus" w:cs="Andalus"/>
          <w:sz w:val="36"/>
          <w:szCs w:val="36"/>
          <w:lang w:eastAsia="fr-FR"/>
        </w:rPr>
      </w:pP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المحاضرة الثانية: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أنواع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الالتزامات ومصادرها.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نتناول في هذه المحاضرة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أنواع ا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لالتزامات ومصادرها. فأنواع الالتزام تختلف باختلاف الزاوية التي ينظر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اليه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من خلالها. فمن حيث المصدر هناك التزامات إرادية وأخرى غير إرادية ومن حيث إمكان إجبار المدين على تنفيذ الالتزام هنالك التزامات مدنية والتزامات طبيعية. ومن حيث مضمون الالتزام ومحله ، هنالك التزامات سلبية وأخرى إيجابية وهنالك التزامات فورية وأخرى مستمرة والتزام بوسيلة والتزام بنتيجة. ومن أهم أنواع الالتزامات ما يلي :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أولاً: الالتزام المدني والالتزام الطبيعي: يعد الالتزام مدنياً إذا تحقق فيه عنصرا المديونية والمسؤولية، فيستطيع الدائن أن يجبر المدين على تنفيذه. أما إذا لم يتحقق في الالتزام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الاّ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عنصر المديونية دون عنصر المسؤولية فإنه يكون التزاماً طبيعياً، فليس للدائن إجبار المدين على تنفيذه،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الاّ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أنه يجوز للمدين أن ينفذه اختياراً ويكون وفاؤه صحيحاً.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ثانياً: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الالتزام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السلبي والالتزام الإيجابي: يكون الالتزام سلبياً إذا كان محله امتناع عن القيام بعمل، ويكون الالتزام إيجابياً إذا كان محله قيام المدين بعمل أو إعطاء شيء. وتظهر فائدة هذا التقسيم في ضرورة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الإعذار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وفي الجزاء.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ثالثاً: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الالتزامات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الفورية والالتزامات المستمرة: الالتزام الفوري هو الذي يمكن 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lastRenderedPageBreak/>
        <w:t xml:space="preserve">تنفيذه دفعة واحدة أو على نحو غير متتابع. أما الالتزام المستمر فهو الذي لابد لتنفيذه من الامتداد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في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الزمن الذي يعد مقياساً لهذا التنفيذ.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رابعاً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: الالتزام بنتيجة والالتزام بوسيلة: الالتزام بنتيجة هو الذي لابد لتنفيذه من تحقيق نتيجة معينة، كالالتزام ببناء دار خلال ستة أشهر.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أما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الالتزام بوسيلة فيكفي لتنفيذه بذل قدر من العناية والحيطة والحذر، كالتزام الطبيب نحو مريضه. ويترتب على هذا التقسيم نتائج قانونية مهمة.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خامساً: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الالتزامات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الشخصية والالتزامات العينية.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سادساً: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الالتزامات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الأصلية والالتزامات التبعية.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>مصادر الالتزام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يقصد بمصادر الالتزام،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الاسباب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القانونية التي تنشئ الالتزام كعقد البيع مصدر التزام المشتري بدفع الثمن والعمل غير المشروع مصدر التزام المتسبب في الضرر بالتعويض.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ولم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تعدد القوانين المدنية مصادر الالتزام وإنما يستخلصها الفقه من خلال سياق القوانين المدنية، وهي في القانون المدني العراقي خمسة مصادر: العقد والإرادة المنفردة والعمل غير المشروع والكسب دون سبب والقانون.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ويمكن رد مصادر الالتزام كلها وفق الترتيب الحديث لمصادر الالتزام،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الى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الواقعة القانونية وهي أمر يجد أو يحدث فيرتب القانون عليه آثار قانونية.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ونبدأ في المحاضرة القادمة بأول هذه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المصادر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ونعني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به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العقد.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ملاحظة مهمة : تمثل المعلومات المذكورة آنفاً الخطوط الرئيسة للمحاضرة، ولا تكفي لوحدها لأغراض الإجابة عن الأسئلة في الاختبارات (الامتحانات) الفصلية والنهائية، ولذلك يتحتم عليك عزيزي الطالب، الرجوع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الى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واحد أو أكثر من 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lastRenderedPageBreak/>
        <w:t xml:space="preserve">المراجع التالية، وعلى أن يكون المصدر رقم (1) من بينها، كما نحثك على الحضور أثناء إلقاء المحاضرات في القاعة لتدوين الملاحظات والاستماع للمناقشات. يمكن كذلك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مراجعتنا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لإزالة أي غموض تجده لدى قراءتك المحاضرة أو المراجع.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المراجع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: تتوافر في المكتبات مراجع كثيرة جداً تتناول موضوع هذه المحاضرة من بينها ما يلي: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>1. د. عبد المجيد الحكيم , عبد الباقي البكري , محمد طه البشير , الوجيز في نظرية الالتزام في القانون المدني العراقي , ج1 في مصادر الالتزام , الجمهورية العراقية , وزارة التعليم العالي والبحث العلمي , 1980م 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2. د. عبد المجيد 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الحكيم ,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الموجز في شرح القانون المدني , ج1 , مصادر الالتزام, المكتبة القانونية ، بغداد , 1977م.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>3. د. عصمت عبد ا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لمجيد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بكر , مصادر الالتزام في القانون المدني , دراسة مقارنة, ط1 , المكتبة القانونية – بغداد , 2007 م 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4. د. غني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حسون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طه ، الوجيز في النظرية العامة للالتزام ، الكتاب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الاول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، مصادر الالتزام ، ساعدت جامعة بغداد على طبعه ، مطبعة المعارف – بغداد ،1971م.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 xml:space="preserve">5. د. محمود سعد الدين الشريف , شرح القانون المدني العراقي , نظرية الالتزام , ج1,في مصادر الالتزام , مطبعة العاني بغداد 1955م . 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>6. د. عبد الرزا</w:t>
      </w:r>
      <w:proofErr w:type="gram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ق السنه</w:t>
      </w:r>
      <w:proofErr w:type="gram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وري , الوجيز في النظرية العامة للالتزام , تنقيح المستشار احمد مدحت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المراغي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, منشأة المعارف ,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الاسكندرية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, 2004م.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  <w:t>7. د. عبد الحي حجازي , النظرية العامة للالتزام , ج2 , مصادر الالتزام , مكتبة نهضة مصر , 1954م .</w:t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br/>
      </w:r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lastRenderedPageBreak/>
        <w:t xml:space="preserve">8. د. سليمان </w:t>
      </w:r>
      <w:proofErr w:type="spellStart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>مرقس</w:t>
      </w:r>
      <w:proofErr w:type="spellEnd"/>
      <w:r w:rsidRPr="00096D95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, نظرية العقد , دار النشر للجامعات المصرية , القاهرة , 1956م.</w:t>
      </w:r>
    </w:p>
    <w:p w:rsidR="00107038" w:rsidRPr="00096D95" w:rsidRDefault="00096D95" w:rsidP="00096D95">
      <w:pPr>
        <w:bidi/>
        <w:jc w:val="both"/>
        <w:rPr>
          <w:rFonts w:ascii="Andalus" w:hAnsi="Andalus" w:cs="Andalus"/>
          <w:sz w:val="36"/>
          <w:szCs w:val="36"/>
        </w:rPr>
      </w:pPr>
    </w:p>
    <w:sectPr w:rsidR="00107038" w:rsidRPr="0009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D95"/>
    <w:rsid w:val="00096D95"/>
    <w:rsid w:val="001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96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D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lbblueheader">
    <w:name w:val="lbblueheader"/>
    <w:basedOn w:val="Policepardfaut"/>
    <w:rsid w:val="00096D95"/>
  </w:style>
  <w:style w:type="character" w:styleId="Lienhypertexte">
    <w:name w:val="Hyperlink"/>
    <w:basedOn w:val="Policepardfaut"/>
    <w:uiPriority w:val="99"/>
    <w:semiHidden/>
    <w:unhideWhenUsed/>
    <w:rsid w:val="00096D95"/>
    <w:rPr>
      <w:color w:val="0000FF"/>
      <w:u w:val="single"/>
    </w:rPr>
  </w:style>
  <w:style w:type="character" w:customStyle="1" w:styleId="addthisseparator">
    <w:name w:val="addthis_separator"/>
    <w:basedOn w:val="Policepardfaut"/>
    <w:rsid w:val="00096D95"/>
  </w:style>
  <w:style w:type="character" w:customStyle="1" w:styleId="lbblue">
    <w:name w:val="lbblue"/>
    <w:basedOn w:val="Policepardfaut"/>
    <w:rsid w:val="00096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4145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babylon.edu.iq/uobColeges/lectx.aspx?fid=7&amp;depid=2" TargetMode="External"/><Relationship Id="rId5" Type="http://schemas.openxmlformats.org/officeDocument/2006/relationships/hyperlink" Target="http://www.uobabylon.edu.iq/uobColeges/Default.aspx?fid=7" TargetMode="External"/><Relationship Id="rId4" Type="http://schemas.openxmlformats.org/officeDocument/2006/relationships/hyperlink" Target="http://www.addthis.com/bookmark.php?v=250&amp;username=xa-4d202df5763565f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My-Net</dc:creator>
  <cp:lastModifiedBy>My-Net</cp:lastModifiedBy>
  <cp:revision>1</cp:revision>
  <dcterms:created xsi:type="dcterms:W3CDTF">2017-05-21T16:31:00Z</dcterms:created>
  <dcterms:modified xsi:type="dcterms:W3CDTF">2017-05-21T16:32:00Z</dcterms:modified>
</cp:coreProperties>
</file>