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FE" w:rsidRDefault="00261DFE" w:rsidP="00BC340F">
      <w:pPr>
        <w:pStyle w:val="Sansinterligne"/>
        <w:bidi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9976E5" w:rsidRPr="00261DFE" w:rsidRDefault="009976E5" w:rsidP="00261DFE">
      <w:pPr>
        <w:pStyle w:val="Sansinterligne"/>
        <w:bidi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261DF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المحاضرة الثالثة </w:t>
      </w:r>
      <w:proofErr w:type="spellStart"/>
      <w:r w:rsidRPr="00261DF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Pr="00261DF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C340F" w:rsidRPr="00261DF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خصائص</w:t>
      </w:r>
      <w:r w:rsidRPr="00261DF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المسؤولية المهنية</w:t>
      </w:r>
    </w:p>
    <w:p w:rsidR="00F4366B" w:rsidRPr="00261DFE" w:rsidRDefault="00AE073B" w:rsidP="00F4366B">
      <w:pPr>
        <w:bidi/>
        <w:spacing w:before="120" w:after="120" w:line="240" w:lineRule="auto"/>
        <w:ind w:firstLine="709"/>
        <w:jc w:val="both"/>
        <w:rPr>
          <w:rFonts w:ascii="Sakkal Majalla" w:eastAsia="Calibri" w:hAnsi="Sakkal Majalla" w:cs="Sakkal Majalla"/>
          <w:sz w:val="36"/>
          <w:szCs w:val="36"/>
        </w:rPr>
      </w:pPr>
      <w:r w:rsidRPr="00261DFE">
        <w:rPr>
          <w:rFonts w:ascii="Sakkal Majalla" w:eastAsia="Calibri" w:hAnsi="Sakkal Majalla" w:cs="Sakkal Majalla"/>
          <w:sz w:val="36"/>
          <w:szCs w:val="36"/>
          <w:rtl/>
        </w:rPr>
        <w:t>إن قواعد المسؤولية المهنية تتميز ببعض الخصوصيات سواء من حيث النشاط المهني أو من</w:t>
      </w:r>
      <w:r w:rsidR="007B73AE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 حيث</w:t>
      </w:r>
      <w:r w:rsidR="00641553">
        <w:rPr>
          <w:rFonts w:ascii="Sakkal Majalla" w:eastAsia="Calibri" w:hAnsi="Sakkal Majalla" w:cs="Sakkal Majalla"/>
          <w:sz w:val="36"/>
          <w:szCs w:val="36"/>
          <w:rtl/>
        </w:rPr>
        <w:t xml:space="preserve"> طبيعة ال</w:t>
      </w:r>
      <w:r w:rsidR="00641553">
        <w:rPr>
          <w:rFonts w:ascii="Sakkal Majalla" w:eastAsia="Calibri" w:hAnsi="Sakkal Majalla" w:cs="Sakkal Majalla" w:hint="cs"/>
          <w:sz w:val="36"/>
          <w:szCs w:val="36"/>
          <w:rtl/>
        </w:rPr>
        <w:t>إ</w:t>
      </w:r>
      <w:r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لتزامات </w:t>
      </w:r>
      <w:r w:rsidR="00944B43" w:rsidRPr="00261DFE">
        <w:rPr>
          <w:rFonts w:ascii="Sakkal Majalla" w:eastAsia="Calibri" w:hAnsi="Sakkal Majalla" w:cs="Sakkal Majalla"/>
          <w:sz w:val="36"/>
          <w:szCs w:val="36"/>
          <w:rtl/>
        </w:rPr>
        <w:t>وحتى</w:t>
      </w:r>
      <w:r w:rsidR="00641553">
        <w:rPr>
          <w:rFonts w:ascii="Sakkal Majalla" w:eastAsia="Calibri" w:hAnsi="Sakkal Majalla" w:cs="Sakkal Majalla"/>
          <w:sz w:val="36"/>
          <w:szCs w:val="36"/>
          <w:rtl/>
        </w:rPr>
        <w:t xml:space="preserve"> من حيث ال</w:t>
      </w:r>
      <w:r w:rsidR="00641553">
        <w:rPr>
          <w:rFonts w:ascii="Sakkal Majalla" w:eastAsia="Calibri" w:hAnsi="Sakkal Majalla" w:cs="Sakkal Majalla" w:hint="cs"/>
          <w:sz w:val="36"/>
          <w:szCs w:val="36"/>
          <w:rtl/>
        </w:rPr>
        <w:t>أ</w:t>
      </w:r>
      <w:r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شخاص الممارسين للمهنة. </w:t>
      </w:r>
    </w:p>
    <w:p w:rsidR="00C5474E" w:rsidRPr="00261DFE" w:rsidRDefault="00AB61C4" w:rsidP="00641553">
      <w:pPr>
        <w:bidi/>
        <w:spacing w:before="120" w:after="120" w:line="240" w:lineRule="auto"/>
        <w:ind w:firstLine="709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261DFE">
        <w:rPr>
          <w:rFonts w:ascii="Sakkal Majalla" w:eastAsia="Calibri" w:hAnsi="Sakkal Majalla" w:cs="Sakkal Majalla"/>
          <w:sz w:val="36"/>
          <w:szCs w:val="36"/>
          <w:rtl/>
        </w:rPr>
        <w:t>هناك خصوصيات تلتقي فيها المهن الحرة بالرغم</w:t>
      </w:r>
      <w:r w:rsidR="00641553">
        <w:rPr>
          <w:rFonts w:ascii="Sakkal Majalla" w:eastAsia="Calibri" w:hAnsi="Sakkal Majalla" w:cs="Sakkal Majalla"/>
          <w:sz w:val="36"/>
          <w:szCs w:val="36"/>
          <w:rtl/>
        </w:rPr>
        <w:t xml:space="preserve"> من اختلاف </w:t>
      </w:r>
      <w:r w:rsidR="00641553">
        <w:rPr>
          <w:rFonts w:ascii="Sakkal Majalla" w:eastAsia="Calibri" w:hAnsi="Sakkal Majalla" w:cs="Sakkal Majalla" w:hint="cs"/>
          <w:sz w:val="36"/>
          <w:szCs w:val="36"/>
          <w:rtl/>
        </w:rPr>
        <w:t>أ</w:t>
      </w:r>
      <w:r w:rsidR="00641553">
        <w:rPr>
          <w:rFonts w:ascii="Sakkal Majalla" w:eastAsia="Calibri" w:hAnsi="Sakkal Majalla" w:cs="Sakkal Majalla"/>
          <w:sz w:val="36"/>
          <w:szCs w:val="36"/>
          <w:rtl/>
        </w:rPr>
        <w:t>داء</w:t>
      </w:r>
      <w:r w:rsidR="005331C7" w:rsidRPr="00261DFE">
        <w:rPr>
          <w:rFonts w:ascii="Sakkal Majalla" w:eastAsia="Calibri" w:hAnsi="Sakkal Majalla" w:cs="Sakkal Majalla"/>
          <w:sz w:val="36"/>
          <w:szCs w:val="36"/>
          <w:rtl/>
        </w:rPr>
        <w:t>ها</w:t>
      </w:r>
      <w:r w:rsidR="00261DFE">
        <w:rPr>
          <w:rFonts w:ascii="Sakkal Majalla" w:eastAsia="Calibri" w:hAnsi="Sakkal Majalla" w:cs="Sakkal Majalla"/>
          <w:sz w:val="36"/>
          <w:szCs w:val="36"/>
          <w:rtl/>
        </w:rPr>
        <w:t xml:space="preserve"> و</w:t>
      </w:r>
      <w:r w:rsidR="005331C7" w:rsidRPr="00261DFE">
        <w:rPr>
          <w:rFonts w:ascii="Sakkal Majalla" w:eastAsia="Calibri" w:hAnsi="Sakkal Majalla" w:cs="Sakkal Majalla"/>
          <w:sz w:val="36"/>
          <w:szCs w:val="36"/>
          <w:rtl/>
        </w:rPr>
        <w:t>نشاطها</w:t>
      </w:r>
      <w:r w:rsidR="00641553">
        <w:rPr>
          <w:rFonts w:ascii="Sakkal Majalla" w:eastAsia="Calibri" w:hAnsi="Sakkal Majalla" w:cs="Sakkal Majalla" w:hint="cs"/>
          <w:sz w:val="36"/>
          <w:szCs w:val="36"/>
          <w:rtl/>
        </w:rPr>
        <w:t xml:space="preserve">. </w:t>
      </w:r>
      <w:r w:rsidR="005331C7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خصوصيات تجمع المهن </w:t>
      </w:r>
      <w:r w:rsidR="005331C7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بالرغم من اختلافها </w:t>
      </w:r>
      <w:r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ما يجعل مسؤوليتهم </w:t>
      </w:r>
      <w:proofErr w:type="spellStart"/>
      <w:r w:rsidRPr="00261DFE">
        <w:rPr>
          <w:rFonts w:ascii="Sakkal Majalla" w:eastAsia="Calibri" w:hAnsi="Sakkal Majalla" w:cs="Sakkal Majalla"/>
          <w:sz w:val="36"/>
          <w:szCs w:val="36"/>
          <w:rtl/>
        </w:rPr>
        <w:t>موحدة،</w:t>
      </w:r>
      <w:proofErr w:type="spellEnd"/>
      <w:r w:rsidR="005331C7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726BA4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>و</w:t>
      </w:r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 xml:space="preserve">يقصد بالخصائص كافّة العوامل التي تميز المسؤولية المهنية عن غيرها من </w:t>
      </w:r>
      <w:proofErr w:type="spellStart"/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>النظم،</w:t>
      </w:r>
      <w:proofErr w:type="spellEnd"/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 xml:space="preserve"> وتؤثر على طبيعة </w:t>
      </w:r>
      <w:proofErr w:type="spellStart"/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>تكييفها،</w:t>
      </w:r>
      <w:proofErr w:type="spellEnd"/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 xml:space="preserve"> وتطبيقها بالاعتماد على المجالات التي يتمّ إعمالها </w:t>
      </w:r>
      <w:proofErr w:type="spellStart"/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>فيها،</w:t>
      </w:r>
      <w:proofErr w:type="spellEnd"/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 xml:space="preserve"> وهي تتميز بالخصائص التالية</w:t>
      </w:r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</w:rPr>
        <w:t> </w:t>
      </w:r>
      <w:r w:rsidR="00C5474E" w:rsidRPr="00261DFE">
        <w:rPr>
          <w:rFonts w:ascii="Sakkal Majalla" w:hAnsi="Sakkal Majalla" w:cs="Sakkal Majalla"/>
          <w:sz w:val="36"/>
          <w:szCs w:val="36"/>
          <w:shd w:val="clear" w:color="auto" w:fill="FFFFFF"/>
          <w:rtl/>
        </w:rPr>
        <w:t>:</w:t>
      </w:r>
    </w:p>
    <w:p w:rsidR="003E4331" w:rsidRPr="00261DFE" w:rsidRDefault="003E4331" w:rsidP="006049D1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/>
        <w:ind w:left="0" w:firstLine="357"/>
        <w:jc w:val="both"/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</w:rPr>
      </w:pPr>
      <w:r w:rsidRPr="00261DFE">
        <w:rPr>
          <w:rStyle w:val="lev"/>
          <w:rFonts w:ascii="Sakkal Majalla" w:hAnsi="Sakkal Majalla" w:cs="Sakkal Majalla"/>
          <w:sz w:val="36"/>
          <w:szCs w:val="36"/>
          <w:bdr w:val="none" w:sz="0" w:space="0" w:color="auto" w:frame="1"/>
          <w:rtl/>
        </w:rPr>
        <w:t>المسؤولية المهنية حديثة النشأة</w:t>
      </w:r>
      <w:r w:rsidRPr="00261DFE">
        <w:rPr>
          <w:rStyle w:val="lev"/>
          <w:rFonts w:ascii="Sakkal Majalla" w:hAnsi="Sakkal Majalla" w:cs="Sakkal Majalla"/>
          <w:sz w:val="36"/>
          <w:szCs w:val="36"/>
          <w:bdr w:val="none" w:sz="0" w:space="0" w:color="auto" w:frame="1"/>
        </w:rPr>
        <w:t>:</w:t>
      </w:r>
      <w:r w:rsidRPr="00261DFE">
        <w:rPr>
          <w:rStyle w:val="lev"/>
          <w:rFonts w:ascii="Sakkal Majalla" w:hAnsi="Sakkal Majalla" w:cs="Sakkal Majalla"/>
          <w:sz w:val="36"/>
          <w:szCs w:val="36"/>
          <w:bdr w:val="none" w:sz="0" w:space="0" w:color="auto" w:frame="1"/>
          <w:rtl/>
        </w:rPr>
        <w:t xml:space="preserve"> </w:t>
      </w:r>
      <w:r w:rsidR="008B6ADF" w:rsidRPr="00261DFE">
        <w:rPr>
          <w:rFonts w:ascii="Sakkal Majalla" w:hAnsi="Sakkal Majalla" w:cs="Sakkal Majalla"/>
          <w:sz w:val="36"/>
          <w:szCs w:val="36"/>
          <w:bdr w:val="none" w:sz="0" w:space="0" w:color="auto" w:frame="1"/>
          <w:rtl/>
        </w:rPr>
        <w:t>هي مسؤولية حديثة جدا قياسا بالمسؤوليات القانونية الأخرى فباعتبارها مظهر من مظاهر تطبيقات فكرة الالتزامات المهنية لم تظهر إلا في نهاية القرن 20.</w:t>
      </w:r>
    </w:p>
    <w:p w:rsidR="00792687" w:rsidRPr="00261DFE" w:rsidRDefault="00BC340F" w:rsidP="00792687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/>
        <w:ind w:left="0" w:firstLine="357"/>
        <w:jc w:val="both"/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</w:rPr>
      </w:pPr>
      <w:r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المسؤولية المهنية مباشرة</w:t>
      </w:r>
      <w:r w:rsid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شخصية </w:t>
      </w:r>
      <w:r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</w:rPr>
        <w:t> 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تحمل المهني لأخطاءه  بصفة شخصية حتى ولو تدخلت الدولة بصفة غير مباشرة في المهنة مثل مهنة الموثق</w:t>
      </w:r>
      <w:r w:rsid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المحضر القضائي</w:t>
      </w:r>
      <w:r w:rsid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المحافظ للبيع بالمزاد العلني فإن المهني يتحملها مباشرةً.</w:t>
      </w:r>
    </w:p>
    <w:p w:rsidR="00792687" w:rsidRPr="00261DFE" w:rsidRDefault="00BC340F" w:rsidP="00792687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/>
        <w:ind w:left="0" w:firstLine="357"/>
        <w:jc w:val="both"/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</w:pPr>
      <w:r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ذات نظام قانوني مختلط</w:t>
      </w:r>
      <w:r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</w:rPr>
        <w:t>: </w:t>
      </w:r>
      <w:r w:rsidRPr="00261DFE">
        <w:rPr>
          <w:rStyle w:val="lev"/>
          <w:rFonts w:ascii="Sakkal Majalla" w:hAnsi="Sakkal Majalla" w:cs="Sakkal Majalla"/>
          <w:b w:val="0"/>
          <w:bCs w:val="0"/>
          <w:color w:val="333333"/>
          <w:sz w:val="36"/>
          <w:szCs w:val="36"/>
          <w:bdr w:val="none" w:sz="0" w:space="0" w:color="auto" w:frame="1"/>
          <w:rtl/>
        </w:rPr>
        <w:t xml:space="preserve"> 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فهي </w:t>
      </w:r>
      <w:proofErr w:type="spellStart"/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مسؤولة</w:t>
      </w:r>
      <w:proofErr w:type="spellEnd"/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ليست عامة</w:t>
      </w:r>
      <w:r w:rsid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لا مطلقة</w:t>
      </w:r>
      <w:r w:rsid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إنما تخضع لنظام قانوني خاص تتنوع فيه الجزاءات</w:t>
      </w:r>
      <w:r w:rsid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="00792687" w:rsidRPr="00261DFE"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تتعدد.</w:t>
      </w:r>
    </w:p>
    <w:p w:rsidR="00BC340F" w:rsidRPr="00261DFE" w:rsidRDefault="007B3FCC" w:rsidP="00BC340F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/>
        <w:ind w:left="0" w:firstLine="357"/>
        <w:jc w:val="both"/>
        <w:rPr>
          <w:rFonts w:ascii="Sakkal Majalla" w:eastAsia="Calibri" w:hAnsi="Sakkal Majalla" w:cs="Sakkal Majalla"/>
          <w:b/>
          <w:bCs/>
          <w:color w:val="333333"/>
          <w:sz w:val="36"/>
          <w:szCs w:val="36"/>
          <w:bdr w:val="none" w:sz="0" w:space="0" w:color="auto" w:frame="1"/>
        </w:rPr>
      </w:pPr>
      <w:r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 xml:space="preserve">ذات أهداف </w:t>
      </w:r>
      <w:r w:rsidR="003E4331"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</w:rPr>
        <w:t>احترافي</w:t>
      </w:r>
      <w:r w:rsidR="00F4366B"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  <w:lang w:bidi="ar-DZ"/>
        </w:rPr>
        <w:t xml:space="preserve">ة </w:t>
      </w:r>
      <w:r w:rsidR="00792687" w:rsidRPr="00261DFE">
        <w:rPr>
          <w:rStyle w:val="lev"/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  <w:rtl/>
          <w:lang w:bidi="ar-DZ"/>
        </w:rPr>
        <w:t xml:space="preserve">: </w:t>
      </w:r>
      <w:r w:rsidR="00792687" w:rsidRPr="00261DFE">
        <w:rPr>
          <w:rStyle w:val="lev"/>
          <w:rFonts w:ascii="Sakkal Majalla" w:hAnsi="Sakkal Majalla" w:cs="Sakkal Majalla"/>
          <w:b w:val="0"/>
          <w:bCs w:val="0"/>
          <w:color w:val="333333"/>
          <w:sz w:val="36"/>
          <w:szCs w:val="36"/>
          <w:bdr w:val="none" w:sz="0" w:space="0" w:color="auto" w:frame="1"/>
          <w:rtl/>
        </w:rPr>
        <w:t>فهي تضمن الارتقاء بالمهنة</w:t>
      </w:r>
      <w:r w:rsidR="00261DFE">
        <w:rPr>
          <w:rStyle w:val="lev"/>
          <w:rFonts w:ascii="Sakkal Majalla" w:hAnsi="Sakkal Majalla" w:cs="Sakkal Majalla"/>
          <w:b w:val="0"/>
          <w:bCs w:val="0"/>
          <w:color w:val="333333"/>
          <w:sz w:val="36"/>
          <w:szCs w:val="36"/>
          <w:bdr w:val="none" w:sz="0" w:space="0" w:color="auto" w:frame="1"/>
          <w:rtl/>
        </w:rPr>
        <w:t xml:space="preserve"> و</w:t>
      </w:r>
      <w:r w:rsidR="00792687" w:rsidRPr="00261DFE">
        <w:rPr>
          <w:rStyle w:val="lev"/>
          <w:rFonts w:ascii="Sakkal Majalla" w:hAnsi="Sakkal Majalla" w:cs="Sakkal Majalla"/>
          <w:b w:val="0"/>
          <w:bCs w:val="0"/>
          <w:color w:val="333333"/>
          <w:sz w:val="36"/>
          <w:szCs w:val="36"/>
          <w:bdr w:val="none" w:sz="0" w:space="0" w:color="auto" w:frame="1"/>
          <w:rtl/>
        </w:rPr>
        <w:t>الرفع من مستوى المهنيين</w:t>
      </w:r>
    </w:p>
    <w:p w:rsidR="00BC340F" w:rsidRPr="00261DFE" w:rsidRDefault="00BC340F" w:rsidP="006049D1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/>
        <w:ind w:left="0" w:firstLine="357"/>
        <w:jc w:val="both"/>
        <w:rPr>
          <w:rFonts w:ascii="Sakkal Majalla" w:eastAsia="Calibri" w:hAnsi="Sakkal Majalla" w:cs="Sakkal Majalla"/>
          <w:b/>
          <w:bCs/>
          <w:color w:val="333333"/>
          <w:sz w:val="36"/>
          <w:szCs w:val="36"/>
          <w:bdr w:val="none" w:sz="0" w:space="0" w:color="auto" w:frame="1"/>
        </w:rPr>
      </w:pPr>
      <w:r w:rsidRPr="00261DFE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جوهر هذه المسؤولية هو التزامات </w:t>
      </w:r>
      <w:proofErr w:type="spellStart"/>
      <w:r w:rsidRPr="00261DFE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المهنة</w:t>
      </w:r>
      <w:r w:rsidR="00C31DF3" w:rsidRPr="00261DFE">
        <w:rPr>
          <w:rFonts w:ascii="Sakkal Majalla" w:eastAsia="Calibri" w:hAnsi="Sakkal Majalla" w:cs="Sakkal Majalla"/>
          <w:b/>
          <w:bCs/>
          <w:sz w:val="36"/>
          <w:szCs w:val="36"/>
          <w:rtl/>
        </w:rPr>
        <w:t>:</w:t>
      </w:r>
      <w:proofErr w:type="spellEnd"/>
      <w:r w:rsidR="00C31DF3" w:rsidRPr="00261DFE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="00C31DF3" w:rsidRPr="00261DFE">
        <w:rPr>
          <w:rFonts w:ascii="Sakkal Majalla" w:eastAsia="Calibri" w:hAnsi="Sakkal Majalla" w:cs="Sakkal Majalla"/>
          <w:sz w:val="36"/>
          <w:szCs w:val="36"/>
          <w:rtl/>
        </w:rPr>
        <w:t>بمعنى أن المهني يسأل عند اخلاله بواجباته المهنية</w:t>
      </w:r>
    </w:p>
    <w:p w:rsidR="00F4366B" w:rsidRPr="00261DFE" w:rsidRDefault="006049D1" w:rsidP="00C31DF3">
      <w:pPr>
        <w:pStyle w:val="NormalWeb"/>
        <w:numPr>
          <w:ilvl w:val="0"/>
          <w:numId w:val="2"/>
        </w:numPr>
        <w:shd w:val="clear" w:color="auto" w:fill="FFFFFF"/>
        <w:bidi/>
        <w:spacing w:before="120" w:beforeAutospacing="0" w:after="120" w:afterAutospacing="0"/>
        <w:ind w:left="0" w:firstLine="357"/>
        <w:jc w:val="both"/>
        <w:rPr>
          <w:rFonts w:ascii="Sakkal Majalla" w:hAnsi="Sakkal Majalla" w:cs="Sakkal Majalla"/>
          <w:color w:val="333333"/>
          <w:sz w:val="36"/>
          <w:szCs w:val="36"/>
          <w:bdr w:val="none" w:sz="0" w:space="0" w:color="auto" w:frame="1"/>
        </w:rPr>
      </w:pPr>
      <w:r w:rsidRPr="00261DFE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ذات استقلالية شبه كامل</w:t>
      </w:r>
      <w:r w:rsidRPr="00261DFE">
        <w:rPr>
          <w:rFonts w:ascii="Sakkal Majalla" w:eastAsia="Calibri" w:hAnsi="Sakkal Majalla" w:cs="Sakkal Majalla"/>
          <w:b/>
          <w:bCs/>
          <w:sz w:val="36"/>
          <w:szCs w:val="36"/>
          <w:bdr w:val="none" w:sz="0" w:space="0" w:color="auto" w:frame="1"/>
          <w:rtl/>
        </w:rPr>
        <w:t>ة</w:t>
      </w:r>
      <w:r w:rsidR="00C31DF3" w:rsidRPr="00261DFE">
        <w:rPr>
          <w:rFonts w:ascii="Sakkal Majalla" w:eastAsia="Calibri" w:hAnsi="Sakkal Majalla" w:cs="Sakkal Majalla"/>
          <w:b/>
          <w:bCs/>
          <w:sz w:val="36"/>
          <w:szCs w:val="36"/>
          <w:bdr w:val="none" w:sz="0" w:space="0" w:color="auto" w:frame="1"/>
          <w:rtl/>
        </w:rPr>
        <w:t xml:space="preserve">: </w:t>
      </w:r>
      <w:r w:rsidR="00C31DF3" w:rsidRPr="00261DFE">
        <w:rPr>
          <w:rFonts w:ascii="Sakkal Majalla" w:hAnsi="Sakkal Majalla" w:cs="Sakkal Majalla"/>
          <w:sz w:val="36"/>
          <w:szCs w:val="36"/>
          <w:bdr w:val="none" w:sz="0" w:space="0" w:color="auto" w:frame="1"/>
          <w:rtl/>
          <w:lang w:bidi="ar-DZ"/>
        </w:rPr>
        <w:t>بمعنى ان المهني فيها مستقل في عمله</w:t>
      </w:r>
      <w:r w:rsidR="00261DFE">
        <w:rPr>
          <w:rFonts w:ascii="Sakkal Majalla" w:hAnsi="Sakkal Majalla" w:cs="Sakkal Majalla"/>
          <w:sz w:val="36"/>
          <w:szCs w:val="36"/>
          <w:bdr w:val="none" w:sz="0" w:space="0" w:color="auto" w:frame="1"/>
          <w:rtl/>
          <w:lang w:bidi="ar-DZ"/>
        </w:rPr>
        <w:t xml:space="preserve"> و</w:t>
      </w:r>
      <w:r w:rsidR="00C31DF3" w:rsidRPr="00261DFE">
        <w:rPr>
          <w:rFonts w:ascii="Sakkal Majalla" w:hAnsi="Sakkal Majalla" w:cs="Sakkal Majalla"/>
          <w:sz w:val="36"/>
          <w:szCs w:val="36"/>
          <w:bdr w:val="none" w:sz="0" w:space="0" w:color="auto" w:frame="1"/>
          <w:rtl/>
          <w:lang w:bidi="ar-DZ"/>
        </w:rPr>
        <w:t>لا يخضع لأي تبعية او تأثير</w:t>
      </w:r>
    </w:p>
    <w:p w:rsidR="00BC340F" w:rsidRPr="00261DFE" w:rsidRDefault="002138E5" w:rsidP="00261DFE">
      <w:pPr>
        <w:bidi/>
        <w:ind w:firstLine="709"/>
        <w:jc w:val="both"/>
        <w:rPr>
          <w:rFonts w:ascii="Sakkal Majalla" w:eastAsia="Calibri" w:hAnsi="Sakkal Majalla" w:cs="Sakkal Majalla" w:hint="cs"/>
          <w:sz w:val="36"/>
          <w:szCs w:val="36"/>
          <w:rtl/>
          <w:lang w:bidi="ar-DZ"/>
        </w:rPr>
      </w:pPr>
      <w:r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لقد اعترف المشرع بالمسؤولية المهنية في عديد المواد </w:t>
      </w:r>
      <w:proofErr w:type="spellStart"/>
      <w:r w:rsidRPr="00261DFE">
        <w:rPr>
          <w:rFonts w:ascii="Sakkal Majalla" w:eastAsia="Calibri" w:hAnsi="Sakkal Majalla" w:cs="Sakkal Majalla"/>
          <w:sz w:val="36"/>
          <w:szCs w:val="36"/>
          <w:rtl/>
        </w:rPr>
        <w:t>القانونية،</w:t>
      </w:r>
      <w:proofErr w:type="spellEnd"/>
      <w:r w:rsidR="001D77F2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 فا</w:t>
      </w:r>
      <w:r w:rsidR="00BC340F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لمسؤولية المهنية </w:t>
      </w:r>
      <w:r w:rsidR="001D77F2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تشترك </w:t>
      </w:r>
      <w:r w:rsidR="00BC340F" w:rsidRPr="00261DFE">
        <w:rPr>
          <w:rFonts w:ascii="Sakkal Majalla" w:eastAsia="Calibri" w:hAnsi="Sakkal Majalla" w:cs="Sakkal Majalla"/>
          <w:sz w:val="36"/>
          <w:szCs w:val="36"/>
          <w:rtl/>
        </w:rPr>
        <w:t xml:space="preserve">مع غيرها من النظم الآخرى في ارتكاب الخطأ الموجب للمسؤولية غير أن </w:t>
      </w:r>
      <w:r w:rsidR="00261DFE">
        <w:rPr>
          <w:rFonts w:ascii="Sakkal Majalla" w:eastAsia="Calibri" w:hAnsi="Sakkal Majalla" w:cs="Sakkal Majalla" w:hint="cs"/>
          <w:sz w:val="36"/>
          <w:szCs w:val="36"/>
          <w:rtl/>
          <w:lang w:bidi="ar-DZ"/>
        </w:rPr>
        <w:t>تكييف الخطأ بين مهني وغير مهني يستتبعه بكل تأكيد اختلاف في نوع المسؤولية</w:t>
      </w:r>
    </w:p>
    <w:sectPr w:rsidR="00BC340F" w:rsidRPr="00261DFE" w:rsidSect="00261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D8" w:rsidRDefault="00471ED8" w:rsidP="00BC340F">
      <w:pPr>
        <w:spacing w:after="0" w:line="240" w:lineRule="auto"/>
      </w:pPr>
      <w:r>
        <w:separator/>
      </w:r>
    </w:p>
  </w:endnote>
  <w:endnote w:type="continuationSeparator" w:id="0">
    <w:p w:rsidR="00471ED8" w:rsidRDefault="00471ED8" w:rsidP="00BC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56" w:rsidRDefault="006A4A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56" w:rsidRDefault="006A4A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56" w:rsidRDefault="006A4A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D8" w:rsidRDefault="00471ED8" w:rsidP="00BC340F">
      <w:pPr>
        <w:spacing w:after="0" w:line="240" w:lineRule="auto"/>
      </w:pPr>
      <w:r>
        <w:separator/>
      </w:r>
    </w:p>
  </w:footnote>
  <w:footnote w:type="continuationSeparator" w:id="0">
    <w:p w:rsidR="00471ED8" w:rsidRDefault="00471ED8" w:rsidP="00BC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56" w:rsidRDefault="006A4A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E" w:rsidRDefault="00261DFE" w:rsidP="00261DFE">
    <w:pPr>
      <w:pStyle w:val="En-tte"/>
      <w:rPr>
        <w:rFonts w:ascii="Traditional Arabic" w:hAnsi="Traditional Arabic" w:cs="Traditional Arabic"/>
        <w:sz w:val="28"/>
        <w:szCs w:val="28"/>
        <w:lang w:bidi="ar-DZ"/>
      </w:rPr>
    </w:pPr>
    <w:r>
      <w:rPr>
        <w:rFonts w:ascii="Traditional Arabic" w:hAnsi="Traditional Arabic" w:cs="Traditional Arabic"/>
        <w:sz w:val="28"/>
        <w:szCs w:val="28"/>
        <w:rtl/>
        <w:lang w:bidi="ar-DZ"/>
      </w:rPr>
      <w:t xml:space="preserve">ملخص محاضرات المسؤولية المهنية لطلبة سنة ثانية قانون خاص معمق                                          د. مـــلوك </w:t>
    </w:r>
    <w:proofErr w:type="gramStart"/>
    <w:r>
      <w:rPr>
        <w:rFonts w:ascii="Traditional Arabic" w:hAnsi="Traditional Arabic" w:cs="Traditional Arabic"/>
        <w:sz w:val="28"/>
        <w:szCs w:val="28"/>
        <w:rtl/>
        <w:lang w:bidi="ar-DZ"/>
      </w:rPr>
      <w:t>مـحفوظ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56" w:rsidRDefault="006A4A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D8A"/>
    <w:multiLevelType w:val="hybridMultilevel"/>
    <w:tmpl w:val="2B3E5B40"/>
    <w:lvl w:ilvl="0" w:tplc="040C000D">
      <w:start w:val="1"/>
      <w:numFmt w:val="bullet"/>
      <w:lvlText w:val=""/>
      <w:lvlJc w:val="left"/>
      <w:pPr>
        <w:ind w:left="985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03509"/>
    <w:multiLevelType w:val="hybridMultilevel"/>
    <w:tmpl w:val="D51E7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6E5"/>
    <w:rsid w:val="0003108E"/>
    <w:rsid w:val="00051613"/>
    <w:rsid w:val="00072C14"/>
    <w:rsid w:val="00086AE8"/>
    <w:rsid w:val="000A6872"/>
    <w:rsid w:val="00113632"/>
    <w:rsid w:val="00122FAC"/>
    <w:rsid w:val="00154CAA"/>
    <w:rsid w:val="00174991"/>
    <w:rsid w:val="001A4C71"/>
    <w:rsid w:val="001D77F2"/>
    <w:rsid w:val="001E194E"/>
    <w:rsid w:val="002138E5"/>
    <w:rsid w:val="00260115"/>
    <w:rsid w:val="00261DFE"/>
    <w:rsid w:val="00264870"/>
    <w:rsid w:val="002852D0"/>
    <w:rsid w:val="002D4C23"/>
    <w:rsid w:val="00335127"/>
    <w:rsid w:val="003B6695"/>
    <w:rsid w:val="003E4331"/>
    <w:rsid w:val="0040558E"/>
    <w:rsid w:val="00406A1C"/>
    <w:rsid w:val="00466A37"/>
    <w:rsid w:val="00471ED8"/>
    <w:rsid w:val="0048113A"/>
    <w:rsid w:val="004A06B1"/>
    <w:rsid w:val="004F2A51"/>
    <w:rsid w:val="005331C7"/>
    <w:rsid w:val="005C012E"/>
    <w:rsid w:val="005D0CB8"/>
    <w:rsid w:val="006049D1"/>
    <w:rsid w:val="0063240A"/>
    <w:rsid w:val="00641553"/>
    <w:rsid w:val="006423BE"/>
    <w:rsid w:val="006823F7"/>
    <w:rsid w:val="006A4A56"/>
    <w:rsid w:val="006B736A"/>
    <w:rsid w:val="006C2305"/>
    <w:rsid w:val="006D1FEF"/>
    <w:rsid w:val="00704363"/>
    <w:rsid w:val="00723DA2"/>
    <w:rsid w:val="00726BA4"/>
    <w:rsid w:val="00734988"/>
    <w:rsid w:val="007615CC"/>
    <w:rsid w:val="00792687"/>
    <w:rsid w:val="007B3FCC"/>
    <w:rsid w:val="007B73AE"/>
    <w:rsid w:val="008048F2"/>
    <w:rsid w:val="008135EE"/>
    <w:rsid w:val="008311DE"/>
    <w:rsid w:val="008831F0"/>
    <w:rsid w:val="008A5D81"/>
    <w:rsid w:val="008B03B7"/>
    <w:rsid w:val="008B6ADF"/>
    <w:rsid w:val="00944B43"/>
    <w:rsid w:val="00946977"/>
    <w:rsid w:val="00961C3E"/>
    <w:rsid w:val="009976E5"/>
    <w:rsid w:val="009C41C1"/>
    <w:rsid w:val="00A06ED7"/>
    <w:rsid w:val="00A1356C"/>
    <w:rsid w:val="00A257D0"/>
    <w:rsid w:val="00A5117A"/>
    <w:rsid w:val="00A57364"/>
    <w:rsid w:val="00AB61C4"/>
    <w:rsid w:val="00AC45FC"/>
    <w:rsid w:val="00AE073B"/>
    <w:rsid w:val="00B124A0"/>
    <w:rsid w:val="00BB1385"/>
    <w:rsid w:val="00BC1A91"/>
    <w:rsid w:val="00BC340F"/>
    <w:rsid w:val="00BC6B5A"/>
    <w:rsid w:val="00BD3B11"/>
    <w:rsid w:val="00BF59DE"/>
    <w:rsid w:val="00C044B8"/>
    <w:rsid w:val="00C310B0"/>
    <w:rsid w:val="00C31DF3"/>
    <w:rsid w:val="00C511CE"/>
    <w:rsid w:val="00C5474E"/>
    <w:rsid w:val="00C65C3F"/>
    <w:rsid w:val="00C67955"/>
    <w:rsid w:val="00C86C2E"/>
    <w:rsid w:val="00CA3C6D"/>
    <w:rsid w:val="00CB2F5C"/>
    <w:rsid w:val="00D155A1"/>
    <w:rsid w:val="00D26D0C"/>
    <w:rsid w:val="00DD7B86"/>
    <w:rsid w:val="00EA178D"/>
    <w:rsid w:val="00EE37D7"/>
    <w:rsid w:val="00F4366B"/>
    <w:rsid w:val="00FC249F"/>
    <w:rsid w:val="00FC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976E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C340F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BC340F"/>
  </w:style>
  <w:style w:type="character" w:customStyle="1" w:styleId="fontstyle01">
    <w:name w:val="fontstyle01"/>
    <w:basedOn w:val="Policepardfaut"/>
    <w:rsid w:val="00BC340F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34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340F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B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C340F"/>
    <w:rPr>
      <w:b/>
      <w:bCs/>
    </w:rPr>
  </w:style>
  <w:style w:type="character" w:customStyle="1" w:styleId="fontstyle21">
    <w:name w:val="fontstyle21"/>
    <w:basedOn w:val="Policepardfaut"/>
    <w:rsid w:val="00BC340F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6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DFE"/>
  </w:style>
  <w:style w:type="paragraph" w:styleId="Pieddepage">
    <w:name w:val="footer"/>
    <w:basedOn w:val="Normal"/>
    <w:link w:val="PieddepageCar"/>
    <w:uiPriority w:val="99"/>
    <w:semiHidden/>
    <w:unhideWhenUsed/>
    <w:rsid w:val="0026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1D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AF030-1216-47F4-BC7E-190D55F9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24</cp:revision>
  <cp:lastPrinted>2022-12-11T08:07:00Z</cp:lastPrinted>
  <dcterms:created xsi:type="dcterms:W3CDTF">2022-09-22T08:08:00Z</dcterms:created>
  <dcterms:modified xsi:type="dcterms:W3CDTF">2022-12-11T08:07:00Z</dcterms:modified>
</cp:coreProperties>
</file>